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E67C9" w14:textId="26FBFD93" w:rsidR="00D94E8E" w:rsidRPr="0009682B" w:rsidRDefault="00E80E8D" w:rsidP="00D94E8E">
      <w:pPr>
        <w:jc w:val="center"/>
        <w:rPr>
          <w:rFonts w:ascii="Garamond" w:hAnsi="Garamond"/>
          <w:b/>
        </w:rPr>
      </w:pPr>
      <w:r w:rsidRPr="0009682B">
        <w:rPr>
          <w:rFonts w:ascii="Garamond" w:hAnsi="Garamond"/>
          <w:b/>
        </w:rPr>
        <w:t>Divisional</w:t>
      </w:r>
      <w:r w:rsidR="005316A8">
        <w:rPr>
          <w:rFonts w:ascii="Garamond" w:hAnsi="Garamond"/>
          <w:b/>
        </w:rPr>
        <w:t>-</w:t>
      </w:r>
      <w:r w:rsidRPr="0009682B">
        <w:rPr>
          <w:rFonts w:ascii="Garamond" w:hAnsi="Garamond"/>
          <w:b/>
        </w:rPr>
        <w:t>PhD Allotments</w:t>
      </w:r>
    </w:p>
    <w:p w14:paraId="055B57F1" w14:textId="77777777" w:rsidR="00E80E8D" w:rsidRPr="0009682B" w:rsidRDefault="00E80E8D">
      <w:pPr>
        <w:rPr>
          <w:rFonts w:ascii="Garamond" w:hAnsi="Garamond"/>
          <w:b/>
        </w:rPr>
      </w:pPr>
    </w:p>
    <w:p w14:paraId="76509AB4" w14:textId="77777777" w:rsidR="00E80E8D" w:rsidRPr="0009682B" w:rsidRDefault="00E80E8D">
      <w:pPr>
        <w:rPr>
          <w:rFonts w:ascii="Garamond" w:hAnsi="Garamond"/>
          <w:b/>
        </w:rPr>
      </w:pPr>
    </w:p>
    <w:p w14:paraId="2BD89F03" w14:textId="604E6906" w:rsidR="00E80E8D" w:rsidRPr="0009682B" w:rsidRDefault="00E80E8D">
      <w:pPr>
        <w:rPr>
          <w:rFonts w:ascii="Garamond" w:hAnsi="Garamond"/>
          <w:b/>
        </w:rPr>
      </w:pPr>
      <w:r w:rsidRPr="0009682B">
        <w:rPr>
          <w:rFonts w:ascii="Garamond" w:hAnsi="Garamond"/>
          <w:b/>
        </w:rPr>
        <w:t>Number of PhD Admits</w:t>
      </w:r>
      <w:r w:rsidR="00317A2E">
        <w:rPr>
          <w:rFonts w:ascii="Garamond" w:hAnsi="Garamond"/>
          <w:b/>
        </w:rPr>
        <w:t>:</w:t>
      </w:r>
    </w:p>
    <w:p w14:paraId="17551960" w14:textId="36BB3FCF" w:rsidR="00E80E8D" w:rsidRPr="0009682B" w:rsidRDefault="00E80E8D">
      <w:pPr>
        <w:rPr>
          <w:rFonts w:ascii="Garamond" w:hAnsi="Garamond"/>
          <w:color w:val="000000" w:themeColor="text1"/>
        </w:rPr>
      </w:pPr>
    </w:p>
    <w:p w14:paraId="49DB4FC6" w14:textId="20EF141A" w:rsidR="00CE49C9" w:rsidRDefault="00E80E8D" w:rsidP="00CC0987">
      <w:pPr>
        <w:pStyle w:val="ListParagraph"/>
        <w:numPr>
          <w:ilvl w:val="0"/>
          <w:numId w:val="1"/>
        </w:numPr>
        <w:rPr>
          <w:rFonts w:ascii="Garamond" w:hAnsi="Garamond"/>
          <w:color w:val="000000" w:themeColor="text1"/>
        </w:rPr>
      </w:pPr>
      <w:r w:rsidRPr="0009682B">
        <w:rPr>
          <w:rFonts w:ascii="Garamond" w:hAnsi="Garamond"/>
          <w:color w:val="000000" w:themeColor="text1"/>
        </w:rPr>
        <w:t xml:space="preserve">Each division may enroll up to </w:t>
      </w:r>
      <w:r w:rsidR="00417E6F" w:rsidRPr="0009682B">
        <w:rPr>
          <w:rFonts w:ascii="Garamond" w:hAnsi="Garamond"/>
          <w:color w:val="000000" w:themeColor="text1"/>
        </w:rPr>
        <w:t xml:space="preserve">4 </w:t>
      </w:r>
      <w:r w:rsidRPr="0009682B">
        <w:rPr>
          <w:rFonts w:ascii="Garamond" w:hAnsi="Garamond"/>
          <w:color w:val="000000" w:themeColor="text1"/>
        </w:rPr>
        <w:t>PhD students per year</w:t>
      </w:r>
      <w:r w:rsidR="0009682B" w:rsidRPr="0009682B">
        <w:rPr>
          <w:rFonts w:ascii="Garamond" w:hAnsi="Garamond"/>
          <w:color w:val="000000" w:themeColor="text1"/>
        </w:rPr>
        <w:t>, and may have no more than 2</w:t>
      </w:r>
      <w:r w:rsidR="00CC0987">
        <w:rPr>
          <w:rFonts w:ascii="Garamond" w:hAnsi="Garamond"/>
          <w:color w:val="000000" w:themeColor="text1"/>
        </w:rPr>
        <w:t>0</w:t>
      </w:r>
      <w:r w:rsidR="0009682B" w:rsidRPr="0009682B">
        <w:rPr>
          <w:rFonts w:ascii="Garamond" w:hAnsi="Garamond"/>
          <w:color w:val="000000" w:themeColor="text1"/>
        </w:rPr>
        <w:t xml:space="preserve"> students</w:t>
      </w:r>
      <w:r w:rsidR="00CC0987">
        <w:rPr>
          <w:rFonts w:ascii="Garamond" w:hAnsi="Garamond"/>
          <w:color w:val="000000" w:themeColor="text1"/>
        </w:rPr>
        <w:t xml:space="preserve"> in years 1-5 </w:t>
      </w:r>
      <w:r w:rsidR="0009682B" w:rsidRPr="0009682B">
        <w:rPr>
          <w:rFonts w:ascii="Garamond" w:hAnsi="Garamond"/>
          <w:color w:val="000000" w:themeColor="text1"/>
        </w:rPr>
        <w:t>in its PhD program (</w:t>
      </w:r>
      <w:r w:rsidR="003C382E">
        <w:rPr>
          <w:rFonts w:ascii="Garamond" w:hAnsi="Garamond"/>
          <w:color w:val="000000" w:themeColor="text1"/>
        </w:rPr>
        <w:t>ex</w:t>
      </w:r>
      <w:r w:rsidR="0009682B" w:rsidRPr="0009682B">
        <w:rPr>
          <w:rFonts w:ascii="Garamond" w:hAnsi="Garamond"/>
          <w:color w:val="000000" w:themeColor="text1"/>
        </w:rPr>
        <w:t>cluding 6th-year students, funded or unfunded)</w:t>
      </w:r>
      <w:r w:rsidR="003C382E">
        <w:rPr>
          <w:rFonts w:ascii="Garamond" w:hAnsi="Garamond"/>
          <w:color w:val="000000" w:themeColor="text1"/>
        </w:rPr>
        <w:t>; that is</w:t>
      </w:r>
      <w:r w:rsidR="00CE49C9">
        <w:rPr>
          <w:rFonts w:ascii="Garamond" w:hAnsi="Garamond"/>
          <w:color w:val="000000" w:themeColor="text1"/>
        </w:rPr>
        <w:t>,</w:t>
      </w:r>
      <w:r w:rsidR="003C382E">
        <w:rPr>
          <w:rFonts w:ascii="Garamond" w:hAnsi="Garamond"/>
          <w:color w:val="000000" w:themeColor="text1"/>
        </w:rPr>
        <w:t xml:space="preserve"> their years 1-5 pipeline</w:t>
      </w:r>
      <w:r w:rsidR="00CE49C9">
        <w:rPr>
          <w:rFonts w:ascii="Garamond" w:hAnsi="Garamond"/>
          <w:color w:val="000000" w:themeColor="text1"/>
        </w:rPr>
        <w:t>-</w:t>
      </w:r>
      <w:r w:rsidR="003C382E">
        <w:rPr>
          <w:rFonts w:ascii="Garamond" w:hAnsi="Garamond"/>
          <w:color w:val="000000" w:themeColor="text1"/>
        </w:rPr>
        <w:t xml:space="preserve">student count should be </w:t>
      </w:r>
      <w:r w:rsidR="00CE49C9">
        <w:rPr>
          <w:rFonts w:ascii="Garamond" w:hAnsi="Garamond"/>
          <w:color w:val="000000" w:themeColor="text1"/>
        </w:rPr>
        <w:t>less than or equal to</w:t>
      </w:r>
      <w:r w:rsidR="003C382E">
        <w:rPr>
          <w:rFonts w:ascii="Garamond" w:hAnsi="Garamond"/>
          <w:color w:val="000000" w:themeColor="text1"/>
        </w:rPr>
        <w:t xml:space="preserve"> 20</w:t>
      </w:r>
      <w:r w:rsidR="0009682B" w:rsidRPr="0009682B">
        <w:rPr>
          <w:rFonts w:ascii="Garamond" w:hAnsi="Garamond"/>
          <w:color w:val="000000" w:themeColor="text1"/>
        </w:rPr>
        <w:t>.</w:t>
      </w:r>
      <w:r w:rsidR="00CC0987">
        <w:rPr>
          <w:rFonts w:ascii="Garamond" w:hAnsi="Garamond"/>
          <w:color w:val="000000" w:themeColor="text1"/>
        </w:rPr>
        <w:t xml:space="preserve">  </w:t>
      </w:r>
    </w:p>
    <w:p w14:paraId="7E4729CB" w14:textId="3A7722AE" w:rsidR="00CC0987" w:rsidRDefault="00CC0987" w:rsidP="00CC0987">
      <w:pPr>
        <w:pStyle w:val="ListParagraph"/>
        <w:numPr>
          <w:ilvl w:val="0"/>
          <w:numId w:val="1"/>
        </w:num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Exceptions </w:t>
      </w:r>
      <w:r w:rsidR="001747BD">
        <w:rPr>
          <w:rFonts w:ascii="Garamond" w:hAnsi="Garamond"/>
          <w:color w:val="000000" w:themeColor="text1"/>
        </w:rPr>
        <w:t xml:space="preserve">to this allotment </w:t>
      </w:r>
      <w:r>
        <w:rPr>
          <w:rFonts w:ascii="Garamond" w:hAnsi="Garamond"/>
          <w:color w:val="000000" w:themeColor="text1"/>
        </w:rPr>
        <w:t>are:</w:t>
      </w:r>
    </w:p>
    <w:p w14:paraId="69A9ECDB" w14:textId="6C568BB2" w:rsidR="00CC0987" w:rsidRDefault="00196A79" w:rsidP="00CC0987">
      <w:pPr>
        <w:pStyle w:val="ListParagraph"/>
        <w:numPr>
          <w:ilvl w:val="1"/>
          <w:numId w:val="1"/>
        </w:num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Per their agreement with the Dean’s Office as a condition for starting</w:t>
      </w:r>
      <w:r w:rsidR="00AE32F7">
        <w:rPr>
          <w:rFonts w:ascii="Garamond" w:hAnsi="Garamond"/>
          <w:color w:val="000000" w:themeColor="text1"/>
        </w:rPr>
        <w:t xml:space="preserve"> the</w:t>
      </w:r>
      <w:r>
        <w:rPr>
          <w:rFonts w:ascii="Garamond" w:hAnsi="Garamond"/>
          <w:color w:val="000000" w:themeColor="text1"/>
        </w:rPr>
        <w:t xml:space="preserve"> </w:t>
      </w:r>
      <w:r w:rsidR="00E81B9F">
        <w:rPr>
          <w:rFonts w:ascii="Garamond" w:hAnsi="Garamond"/>
          <w:color w:val="000000" w:themeColor="text1"/>
        </w:rPr>
        <w:t xml:space="preserve">MSE </w:t>
      </w:r>
      <w:r>
        <w:rPr>
          <w:rFonts w:ascii="Garamond" w:hAnsi="Garamond"/>
          <w:color w:val="000000" w:themeColor="text1"/>
        </w:rPr>
        <w:t xml:space="preserve">program, </w:t>
      </w:r>
      <w:r w:rsidR="00CC0987">
        <w:rPr>
          <w:rFonts w:ascii="Garamond" w:hAnsi="Garamond"/>
          <w:color w:val="000000" w:themeColor="text1"/>
        </w:rPr>
        <w:t>DRO may admit up to 5 students/year, and may have no more than 25 year 1-5 students in its pipeline at any time.</w:t>
      </w:r>
    </w:p>
    <w:p w14:paraId="712B4ECC" w14:textId="7E223C61" w:rsidR="00AE32F7" w:rsidRDefault="00CC0987" w:rsidP="00AE32F7">
      <w:pPr>
        <w:pStyle w:val="ListParagraph"/>
        <w:numPr>
          <w:ilvl w:val="1"/>
          <w:numId w:val="1"/>
        </w:num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Finance (formerly financial-economics) currently has </w:t>
      </w:r>
      <w:r w:rsidR="007D6A5B">
        <w:rPr>
          <w:rFonts w:ascii="Garamond" w:hAnsi="Garamond"/>
          <w:color w:val="000000" w:themeColor="text1"/>
        </w:rPr>
        <w:t>28</w:t>
      </w:r>
      <w:r>
        <w:rPr>
          <w:rFonts w:ascii="Garamond" w:hAnsi="Garamond"/>
          <w:color w:val="000000" w:themeColor="text1"/>
        </w:rPr>
        <w:t xml:space="preserve"> enrolled students (in years 1-5).  The total enrollment cap for finance will be 2</w:t>
      </w:r>
      <w:r w:rsidR="007D6A5B">
        <w:rPr>
          <w:rFonts w:ascii="Garamond" w:hAnsi="Garamond"/>
          <w:color w:val="000000" w:themeColor="text1"/>
        </w:rPr>
        <w:t>6</w:t>
      </w:r>
      <w:r>
        <w:rPr>
          <w:rFonts w:ascii="Garamond" w:hAnsi="Garamond"/>
          <w:color w:val="000000" w:themeColor="text1"/>
        </w:rPr>
        <w:t xml:space="preserve"> students in 2021, and then will shrink by 2 students/year until it hits 20.  It will then remain at 20.</w:t>
      </w:r>
    </w:p>
    <w:p w14:paraId="027355E5" w14:textId="00651890" w:rsidR="008C1507" w:rsidRPr="00CE49C9" w:rsidRDefault="008C1507" w:rsidP="00AE32F7">
      <w:pPr>
        <w:pStyle w:val="ListParagraph"/>
        <w:numPr>
          <w:ilvl w:val="1"/>
          <w:numId w:val="1"/>
        </w:num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Accounting has reached an agreement with the Dean’s Office </w:t>
      </w:r>
      <w:r w:rsidR="00D7257C">
        <w:rPr>
          <w:rFonts w:ascii="Garamond" w:hAnsi="Garamond"/>
          <w:color w:val="000000" w:themeColor="text1"/>
        </w:rPr>
        <w:t xml:space="preserve">(Dec. 2019) </w:t>
      </w:r>
      <w:r>
        <w:rPr>
          <w:rFonts w:ascii="Garamond" w:hAnsi="Garamond"/>
          <w:color w:val="000000" w:themeColor="text1"/>
        </w:rPr>
        <w:t>whereby they will keep their annual PhD allotment to 3 students</w:t>
      </w:r>
      <w:r w:rsidR="00D130CD">
        <w:rPr>
          <w:rFonts w:ascii="Garamond" w:hAnsi="Garamond"/>
          <w:color w:val="000000" w:themeColor="text1"/>
        </w:rPr>
        <w:t>/</w:t>
      </w:r>
      <w:r>
        <w:rPr>
          <w:rFonts w:ascii="Garamond" w:hAnsi="Garamond"/>
          <w:color w:val="000000" w:themeColor="text1"/>
        </w:rPr>
        <w:t xml:space="preserve">year (15 in the Y1-Y5 pipeline) and, in exchange, the Dean’s Office will fund a second Divisional Predoctoral Fellow. </w:t>
      </w:r>
      <w:r w:rsidR="00DB5186">
        <w:rPr>
          <w:rFonts w:ascii="Garamond" w:hAnsi="Garamond"/>
          <w:color w:val="000000" w:themeColor="text1"/>
        </w:rPr>
        <w:t xml:space="preserve">In </w:t>
      </w:r>
      <w:r w:rsidR="00D7257C">
        <w:rPr>
          <w:rFonts w:ascii="Garamond" w:hAnsi="Garamond"/>
          <w:color w:val="000000" w:themeColor="text1"/>
        </w:rPr>
        <w:t xml:space="preserve">the </w:t>
      </w:r>
      <w:r w:rsidR="00DB5186">
        <w:rPr>
          <w:rFonts w:ascii="Garamond" w:hAnsi="Garamond"/>
          <w:color w:val="000000" w:themeColor="text1"/>
        </w:rPr>
        <w:t xml:space="preserve">event that the Accounting Division’s needs change, this agreement can be revisited. </w:t>
      </w:r>
      <w:bookmarkStart w:id="0" w:name="_GoBack"/>
      <w:bookmarkEnd w:id="0"/>
    </w:p>
    <w:p w14:paraId="082B24DD" w14:textId="3B6B6413" w:rsidR="005904A5" w:rsidRPr="0009682B" w:rsidRDefault="005904A5" w:rsidP="005904A5">
      <w:pPr>
        <w:pStyle w:val="ListParagraph"/>
        <w:numPr>
          <w:ilvl w:val="0"/>
          <w:numId w:val="1"/>
        </w:numPr>
        <w:rPr>
          <w:rFonts w:ascii="Garamond" w:hAnsi="Garamond"/>
          <w:color w:val="000000" w:themeColor="text1"/>
        </w:rPr>
      </w:pPr>
      <w:r w:rsidRPr="0009682B">
        <w:rPr>
          <w:rFonts w:ascii="Garamond" w:hAnsi="Garamond"/>
          <w:color w:val="000000" w:themeColor="text1"/>
        </w:rPr>
        <w:t>I</w:t>
      </w:r>
      <w:r w:rsidR="00E80E8D" w:rsidRPr="0009682B">
        <w:rPr>
          <w:rFonts w:ascii="Garamond" w:hAnsi="Garamond"/>
          <w:color w:val="000000" w:themeColor="text1"/>
        </w:rPr>
        <w:t xml:space="preserve">f </w:t>
      </w:r>
      <w:r w:rsidR="0009682B" w:rsidRPr="0009682B">
        <w:rPr>
          <w:rFonts w:ascii="Garamond" w:hAnsi="Garamond"/>
          <w:color w:val="000000" w:themeColor="text1"/>
        </w:rPr>
        <w:t>the</w:t>
      </w:r>
      <w:r w:rsidR="00E80E8D" w:rsidRPr="0009682B">
        <w:rPr>
          <w:rFonts w:ascii="Garamond" w:hAnsi="Garamond"/>
          <w:color w:val="000000" w:themeColor="text1"/>
        </w:rPr>
        <w:t xml:space="preserve"> yield </w:t>
      </w:r>
      <w:r w:rsidR="0009682B" w:rsidRPr="0009682B">
        <w:rPr>
          <w:rFonts w:ascii="Garamond" w:hAnsi="Garamond"/>
          <w:color w:val="000000" w:themeColor="text1"/>
        </w:rPr>
        <w:t>is</w:t>
      </w:r>
      <w:r w:rsidR="00E80E8D" w:rsidRPr="0009682B">
        <w:rPr>
          <w:rFonts w:ascii="Garamond" w:hAnsi="Garamond"/>
          <w:color w:val="000000" w:themeColor="text1"/>
        </w:rPr>
        <w:t xml:space="preserve"> lower than </w:t>
      </w:r>
      <w:r w:rsidR="00417E6F" w:rsidRPr="0009682B">
        <w:rPr>
          <w:rFonts w:ascii="Garamond" w:hAnsi="Garamond"/>
          <w:color w:val="000000" w:themeColor="text1"/>
        </w:rPr>
        <w:t>4</w:t>
      </w:r>
      <w:r w:rsidRPr="0009682B">
        <w:rPr>
          <w:rFonts w:ascii="Garamond" w:hAnsi="Garamond"/>
          <w:color w:val="000000" w:themeColor="text1"/>
        </w:rPr>
        <w:t xml:space="preserve"> students</w:t>
      </w:r>
      <w:r w:rsidR="00E80E8D" w:rsidRPr="0009682B">
        <w:rPr>
          <w:rFonts w:ascii="Garamond" w:hAnsi="Garamond"/>
          <w:color w:val="000000" w:themeColor="text1"/>
        </w:rPr>
        <w:t xml:space="preserve">, </w:t>
      </w:r>
      <w:r w:rsidRPr="0009682B">
        <w:rPr>
          <w:rFonts w:ascii="Garamond" w:hAnsi="Garamond"/>
          <w:color w:val="000000" w:themeColor="text1"/>
        </w:rPr>
        <w:t xml:space="preserve">a </w:t>
      </w:r>
      <w:r w:rsidR="00E80E8D" w:rsidRPr="0009682B">
        <w:rPr>
          <w:rFonts w:ascii="Garamond" w:hAnsi="Garamond"/>
          <w:color w:val="000000" w:themeColor="text1"/>
        </w:rPr>
        <w:t xml:space="preserve">division may </w:t>
      </w:r>
      <w:r w:rsidRPr="0009682B">
        <w:rPr>
          <w:rFonts w:ascii="Garamond" w:hAnsi="Garamond"/>
          <w:color w:val="000000" w:themeColor="text1"/>
        </w:rPr>
        <w:t>make up the difference by admitting additional students</w:t>
      </w:r>
      <w:r w:rsidR="0009682B" w:rsidRPr="0009682B">
        <w:rPr>
          <w:rFonts w:ascii="Garamond" w:hAnsi="Garamond"/>
          <w:color w:val="000000" w:themeColor="text1"/>
        </w:rPr>
        <w:t xml:space="preserve"> in the subsequent year’s cycle. </w:t>
      </w:r>
    </w:p>
    <w:p w14:paraId="488BAA10" w14:textId="102F8301" w:rsidR="00E80E8D" w:rsidRPr="0009682B" w:rsidRDefault="00417E6F" w:rsidP="005904A5">
      <w:pPr>
        <w:pStyle w:val="ListParagraph"/>
        <w:numPr>
          <w:ilvl w:val="0"/>
          <w:numId w:val="1"/>
        </w:numPr>
        <w:rPr>
          <w:rFonts w:ascii="Garamond" w:hAnsi="Garamond"/>
          <w:color w:val="000000" w:themeColor="text1"/>
        </w:rPr>
      </w:pPr>
      <w:r w:rsidRPr="0009682B">
        <w:rPr>
          <w:rFonts w:ascii="Garamond" w:hAnsi="Garamond"/>
          <w:color w:val="000000" w:themeColor="text1"/>
        </w:rPr>
        <w:t xml:space="preserve">If </w:t>
      </w:r>
      <w:r w:rsidR="005904A5" w:rsidRPr="0009682B">
        <w:rPr>
          <w:rFonts w:ascii="Garamond" w:hAnsi="Garamond"/>
          <w:color w:val="000000" w:themeColor="text1"/>
        </w:rPr>
        <w:t xml:space="preserve">the yield is higher than expected (e.g., 5 students accept offers), divisions </w:t>
      </w:r>
      <w:r w:rsidR="0009682B">
        <w:rPr>
          <w:rFonts w:ascii="Garamond" w:hAnsi="Garamond"/>
          <w:color w:val="000000" w:themeColor="text1"/>
        </w:rPr>
        <w:t xml:space="preserve">can honor their offers by </w:t>
      </w:r>
      <w:r w:rsidR="005904A5" w:rsidRPr="0009682B">
        <w:rPr>
          <w:rFonts w:ascii="Garamond" w:hAnsi="Garamond"/>
          <w:color w:val="000000" w:themeColor="text1"/>
        </w:rPr>
        <w:t>borrow</w:t>
      </w:r>
      <w:r w:rsidR="0009682B">
        <w:rPr>
          <w:rFonts w:ascii="Garamond" w:hAnsi="Garamond"/>
          <w:color w:val="000000" w:themeColor="text1"/>
        </w:rPr>
        <w:t>ing</w:t>
      </w:r>
      <w:r w:rsidR="005904A5" w:rsidRPr="0009682B">
        <w:rPr>
          <w:rFonts w:ascii="Garamond" w:hAnsi="Garamond"/>
          <w:color w:val="000000" w:themeColor="text1"/>
        </w:rPr>
        <w:t xml:space="preserve"> against </w:t>
      </w:r>
      <w:r w:rsidR="0009682B" w:rsidRPr="0009682B">
        <w:rPr>
          <w:rFonts w:ascii="Garamond" w:hAnsi="Garamond"/>
          <w:color w:val="000000" w:themeColor="text1"/>
        </w:rPr>
        <w:t xml:space="preserve">the next year’s </w:t>
      </w:r>
      <w:r w:rsidR="005904A5" w:rsidRPr="0009682B">
        <w:rPr>
          <w:rFonts w:ascii="Garamond" w:hAnsi="Garamond"/>
          <w:color w:val="000000" w:themeColor="text1"/>
        </w:rPr>
        <w:t xml:space="preserve">allocations. </w:t>
      </w:r>
    </w:p>
    <w:p w14:paraId="178D2B63" w14:textId="19C55DB8" w:rsidR="0009682B" w:rsidRPr="0009682B" w:rsidRDefault="0009682B" w:rsidP="0009682B">
      <w:pPr>
        <w:pStyle w:val="ListParagraph"/>
        <w:numPr>
          <w:ilvl w:val="0"/>
          <w:numId w:val="1"/>
        </w:numPr>
        <w:rPr>
          <w:rFonts w:ascii="Garamond" w:eastAsia="Times New Roman" w:hAnsi="Garamond" w:cs="Calibri"/>
          <w:color w:val="000000" w:themeColor="text1"/>
        </w:rPr>
      </w:pPr>
      <w:r w:rsidRPr="0009682B">
        <w:rPr>
          <w:rFonts w:ascii="Garamond" w:eastAsia="Times New Roman" w:hAnsi="Garamond" w:cs="Calibri"/>
          <w:color w:val="000000" w:themeColor="text1"/>
        </w:rPr>
        <w:t>In the event that a PhD student leaves a program before completing the degree, the relevant division is entitled to fill the PhD slot created by the departing individual, except if the division’s total PhD count exceeds</w:t>
      </w:r>
      <w:r w:rsidR="003C382E">
        <w:rPr>
          <w:rFonts w:ascii="Garamond" w:eastAsia="Times New Roman" w:hAnsi="Garamond" w:cs="Calibri"/>
          <w:color w:val="000000" w:themeColor="text1"/>
        </w:rPr>
        <w:t xml:space="preserve"> the pipeline student count thresholds, as specified above.  </w:t>
      </w:r>
      <w:r w:rsidRPr="0009682B">
        <w:rPr>
          <w:rFonts w:ascii="Garamond" w:eastAsia="Times New Roman" w:hAnsi="Garamond" w:cs="Calibri"/>
          <w:color w:val="000000" w:themeColor="text1"/>
        </w:rPr>
        <w:t xml:space="preserve">  </w:t>
      </w:r>
    </w:p>
    <w:p w14:paraId="779A5FB0" w14:textId="7F86C05B" w:rsidR="001747BD" w:rsidRPr="004D2BF7" w:rsidRDefault="0009682B" w:rsidP="001747BD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09682B">
        <w:rPr>
          <w:rFonts w:ascii="Garamond" w:hAnsi="Garamond"/>
        </w:rPr>
        <w:t xml:space="preserve">Transfers into a division from other programs are permitted but students need to formally apply and their admission counts against a division’s annual allocation. </w:t>
      </w:r>
    </w:p>
    <w:p w14:paraId="663447ED" w14:textId="24DC73F6" w:rsidR="005904A5" w:rsidRPr="0009682B" w:rsidRDefault="005904A5" w:rsidP="005904A5">
      <w:pPr>
        <w:pStyle w:val="ListParagraph"/>
        <w:numPr>
          <w:ilvl w:val="0"/>
          <w:numId w:val="1"/>
        </w:numPr>
        <w:rPr>
          <w:rFonts w:ascii="Garamond" w:hAnsi="Garamond"/>
          <w:color w:val="000000" w:themeColor="text1"/>
        </w:rPr>
      </w:pPr>
      <w:r w:rsidRPr="0009682B">
        <w:rPr>
          <w:rFonts w:ascii="Garamond" w:hAnsi="Garamond"/>
          <w:color w:val="000000" w:themeColor="text1"/>
        </w:rPr>
        <w:t xml:space="preserve">Exceptions to this policy </w:t>
      </w:r>
      <w:r w:rsidR="00417E6F" w:rsidRPr="0009682B">
        <w:rPr>
          <w:rFonts w:ascii="Garamond" w:hAnsi="Garamond"/>
          <w:color w:val="000000" w:themeColor="text1"/>
        </w:rPr>
        <w:t>are</w:t>
      </w:r>
      <w:r w:rsidRPr="0009682B">
        <w:rPr>
          <w:rFonts w:ascii="Garamond" w:hAnsi="Garamond"/>
          <w:color w:val="000000" w:themeColor="text1"/>
        </w:rPr>
        <w:t xml:space="preserve"> at the discretion of the Dean’s Office</w:t>
      </w:r>
      <w:r w:rsidR="00417E6F" w:rsidRPr="0009682B">
        <w:rPr>
          <w:rFonts w:ascii="Garamond" w:hAnsi="Garamond"/>
          <w:color w:val="000000" w:themeColor="text1"/>
        </w:rPr>
        <w:t xml:space="preserve"> and can be formally made </w:t>
      </w:r>
      <w:r w:rsidR="00CE49C9">
        <w:rPr>
          <w:rFonts w:ascii="Garamond" w:hAnsi="Garamond"/>
          <w:color w:val="000000" w:themeColor="text1"/>
        </w:rPr>
        <w:t>to the Vice Dean for Research.</w:t>
      </w:r>
      <w:r w:rsidRPr="0009682B">
        <w:rPr>
          <w:rFonts w:ascii="Garamond" w:hAnsi="Garamond"/>
          <w:color w:val="000000" w:themeColor="text1"/>
        </w:rPr>
        <w:t xml:space="preserve"> </w:t>
      </w:r>
    </w:p>
    <w:p w14:paraId="16313F4F" w14:textId="77777777" w:rsidR="0009682B" w:rsidRPr="0009682B" w:rsidRDefault="0009682B">
      <w:pPr>
        <w:rPr>
          <w:rFonts w:ascii="Garamond" w:hAnsi="Garamond"/>
        </w:rPr>
      </w:pPr>
    </w:p>
    <w:p w14:paraId="3CA7AB74" w14:textId="7F0E3D30" w:rsidR="00E80E8D" w:rsidRPr="0009682B" w:rsidRDefault="00E80E8D">
      <w:pPr>
        <w:rPr>
          <w:rFonts w:ascii="Garamond" w:hAnsi="Garamond"/>
          <w:b/>
        </w:rPr>
      </w:pPr>
      <w:r w:rsidRPr="0009682B">
        <w:rPr>
          <w:rFonts w:ascii="Garamond" w:hAnsi="Garamond"/>
          <w:b/>
        </w:rPr>
        <w:t>Length of Program</w:t>
      </w:r>
      <w:r w:rsidR="00317A2E">
        <w:rPr>
          <w:rFonts w:ascii="Garamond" w:hAnsi="Garamond"/>
          <w:b/>
        </w:rPr>
        <w:t>:</w:t>
      </w:r>
    </w:p>
    <w:p w14:paraId="7A2EE35C" w14:textId="77777777" w:rsidR="0042796E" w:rsidRPr="0009682B" w:rsidRDefault="0042796E">
      <w:pPr>
        <w:rPr>
          <w:rFonts w:ascii="Garamond" w:hAnsi="Garamond"/>
          <w:b/>
        </w:rPr>
      </w:pPr>
    </w:p>
    <w:p w14:paraId="6BF7CFF3" w14:textId="77777777" w:rsidR="00CC0987" w:rsidRDefault="00E80E8D" w:rsidP="005904A5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09682B">
        <w:rPr>
          <w:rFonts w:ascii="Garamond" w:hAnsi="Garamond"/>
        </w:rPr>
        <w:t xml:space="preserve">Students who are in good standing </w:t>
      </w:r>
      <w:r w:rsidR="005904A5" w:rsidRPr="0009682B">
        <w:rPr>
          <w:rFonts w:ascii="Garamond" w:hAnsi="Garamond"/>
        </w:rPr>
        <w:t>are guaranteed</w:t>
      </w:r>
      <w:r w:rsidRPr="0009682B">
        <w:rPr>
          <w:rFonts w:ascii="Garamond" w:hAnsi="Garamond"/>
        </w:rPr>
        <w:t xml:space="preserve"> five years of funding.</w:t>
      </w:r>
    </w:p>
    <w:p w14:paraId="28D4D8FC" w14:textId="30B291E9" w:rsidR="00E80E8D" w:rsidRPr="004D2BF7" w:rsidRDefault="00E80E8D" w:rsidP="00541B6E">
      <w:pPr>
        <w:pStyle w:val="ListParagraph"/>
        <w:numPr>
          <w:ilvl w:val="0"/>
          <w:numId w:val="2"/>
        </w:numPr>
        <w:rPr>
          <w:b/>
        </w:rPr>
      </w:pPr>
      <w:r w:rsidRPr="00541B6E">
        <w:rPr>
          <w:rFonts w:ascii="Garamond" w:hAnsi="Garamond"/>
        </w:rPr>
        <w:t>Sixth</w:t>
      </w:r>
      <w:r w:rsidR="00417E6F" w:rsidRPr="00541B6E">
        <w:rPr>
          <w:rFonts w:ascii="Garamond" w:hAnsi="Garamond"/>
        </w:rPr>
        <w:t>-</w:t>
      </w:r>
      <w:r w:rsidRPr="00541B6E">
        <w:rPr>
          <w:rFonts w:ascii="Garamond" w:hAnsi="Garamond"/>
        </w:rPr>
        <w:t xml:space="preserve">year funding is not guaranteed but students who elect to stay an additional year can </w:t>
      </w:r>
      <w:r w:rsidR="00417E6F" w:rsidRPr="00541B6E">
        <w:rPr>
          <w:rFonts w:ascii="Garamond" w:hAnsi="Garamond"/>
        </w:rPr>
        <w:t xml:space="preserve">formally </w:t>
      </w:r>
      <w:r w:rsidRPr="00541B6E">
        <w:rPr>
          <w:rFonts w:ascii="Garamond" w:hAnsi="Garamond"/>
        </w:rPr>
        <w:t xml:space="preserve">apply </w:t>
      </w:r>
      <w:r w:rsidR="005904A5" w:rsidRPr="00541B6E">
        <w:rPr>
          <w:rFonts w:ascii="Garamond" w:hAnsi="Garamond"/>
        </w:rPr>
        <w:t>for financial support</w:t>
      </w:r>
      <w:r w:rsidR="00417E6F" w:rsidRPr="00541B6E">
        <w:rPr>
          <w:rFonts w:ascii="Garamond" w:hAnsi="Garamond"/>
        </w:rPr>
        <w:t xml:space="preserve"> </w:t>
      </w:r>
      <w:r w:rsidR="006C6229" w:rsidRPr="00541B6E">
        <w:rPr>
          <w:rFonts w:ascii="Garamond" w:hAnsi="Garamond"/>
        </w:rPr>
        <w:t>from their division. The Dean’s Office will not provide support to sixth-year students.</w:t>
      </w:r>
    </w:p>
    <w:p w14:paraId="452780B0" w14:textId="1780BE5A" w:rsidR="00E80E8D" w:rsidRPr="0009682B" w:rsidRDefault="00E80E8D">
      <w:pPr>
        <w:rPr>
          <w:rFonts w:ascii="Garamond" w:hAnsi="Garamond"/>
        </w:rPr>
      </w:pPr>
    </w:p>
    <w:p w14:paraId="7597E80B" w14:textId="04BC2270" w:rsidR="00E80E8D" w:rsidRPr="0009682B" w:rsidRDefault="00E80E8D">
      <w:pPr>
        <w:rPr>
          <w:rFonts w:ascii="Garamond" w:hAnsi="Garamond"/>
        </w:rPr>
      </w:pPr>
    </w:p>
    <w:p w14:paraId="4081C860" w14:textId="38B13C82" w:rsidR="0042796E" w:rsidRDefault="0042796E">
      <w:pPr>
        <w:rPr>
          <w:rFonts w:ascii="Cambria" w:hAnsi="Cambria"/>
        </w:rPr>
      </w:pPr>
    </w:p>
    <w:p w14:paraId="2C61A5D4" w14:textId="77777777" w:rsidR="00E80E8D" w:rsidRDefault="00E80E8D">
      <w:pPr>
        <w:rPr>
          <w:rFonts w:ascii="Cambria" w:hAnsi="Cambria"/>
        </w:rPr>
      </w:pPr>
    </w:p>
    <w:p w14:paraId="5866A3D6" w14:textId="77777777" w:rsidR="00E80E8D" w:rsidRPr="00E80E8D" w:rsidRDefault="00E80E8D">
      <w:pPr>
        <w:rPr>
          <w:rFonts w:ascii="Cambria" w:hAnsi="Cambria"/>
        </w:rPr>
      </w:pPr>
    </w:p>
    <w:sectPr w:rsidR="00E80E8D" w:rsidRPr="00E80E8D" w:rsidSect="007426B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699FBF" w16cid:durableId="21CEBB1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2A1A5" w14:textId="77777777" w:rsidR="00775281" w:rsidRDefault="00775281" w:rsidP="00D94E8E">
      <w:r>
        <w:separator/>
      </w:r>
    </w:p>
  </w:endnote>
  <w:endnote w:type="continuationSeparator" w:id="0">
    <w:p w14:paraId="3CFB2B75" w14:textId="77777777" w:rsidR="00775281" w:rsidRDefault="00775281" w:rsidP="00D9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E7BA3" w14:textId="44A42E5F" w:rsidR="00D94E8E" w:rsidRPr="00D94E8E" w:rsidRDefault="00D94E8E">
    <w:pPr>
      <w:pStyle w:val="Footer"/>
      <w:rPr>
        <w:rFonts w:ascii="Garamond" w:hAnsi="Garamond"/>
        <w:sz w:val="20"/>
        <w:szCs w:val="20"/>
      </w:rPr>
    </w:pPr>
    <w:r w:rsidRPr="00D94E8E">
      <w:rPr>
        <w:rFonts w:ascii="Garamond" w:hAnsi="Garamond"/>
        <w:sz w:val="20"/>
        <w:szCs w:val="20"/>
      </w:rPr>
      <w:t xml:space="preserve">Draft Date: </w:t>
    </w:r>
    <w:r w:rsidR="008C1507">
      <w:rPr>
        <w:rFonts w:ascii="Garamond" w:hAnsi="Garamond"/>
        <w:sz w:val="20"/>
        <w:szCs w:val="20"/>
      </w:rPr>
      <w:t>January 19</w:t>
    </w:r>
    <w:r w:rsidRPr="00D94E8E">
      <w:rPr>
        <w:rFonts w:ascii="Garamond" w:hAnsi="Garamond"/>
        <w:sz w:val="20"/>
        <w:szCs w:val="20"/>
      </w:rPr>
      <w:t>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A63E4" w14:textId="77777777" w:rsidR="00775281" w:rsidRDefault="00775281" w:rsidP="00D94E8E">
      <w:r>
        <w:separator/>
      </w:r>
    </w:p>
  </w:footnote>
  <w:footnote w:type="continuationSeparator" w:id="0">
    <w:p w14:paraId="470E9FD1" w14:textId="77777777" w:rsidR="00775281" w:rsidRDefault="00775281" w:rsidP="00D94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40A82"/>
    <w:multiLevelType w:val="hybridMultilevel"/>
    <w:tmpl w:val="A7D42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B6BDA"/>
    <w:multiLevelType w:val="hybridMultilevel"/>
    <w:tmpl w:val="CEA67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F6810"/>
    <w:multiLevelType w:val="hybridMultilevel"/>
    <w:tmpl w:val="1B0E3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8D"/>
    <w:rsid w:val="0002331C"/>
    <w:rsid w:val="0009682B"/>
    <w:rsid w:val="0012103B"/>
    <w:rsid w:val="001249BB"/>
    <w:rsid w:val="001747BD"/>
    <w:rsid w:val="001915F5"/>
    <w:rsid w:val="00196A79"/>
    <w:rsid w:val="001C7D95"/>
    <w:rsid w:val="002E1465"/>
    <w:rsid w:val="003055C9"/>
    <w:rsid w:val="00312341"/>
    <w:rsid w:val="00317A2E"/>
    <w:rsid w:val="003C382E"/>
    <w:rsid w:val="00417E6F"/>
    <w:rsid w:val="0042796E"/>
    <w:rsid w:val="004D2BF7"/>
    <w:rsid w:val="004E0EDD"/>
    <w:rsid w:val="005316A8"/>
    <w:rsid w:val="00541B6E"/>
    <w:rsid w:val="005573E8"/>
    <w:rsid w:val="005904A5"/>
    <w:rsid w:val="00601FD6"/>
    <w:rsid w:val="006C6229"/>
    <w:rsid w:val="007077BB"/>
    <w:rsid w:val="007426BE"/>
    <w:rsid w:val="00775281"/>
    <w:rsid w:val="007D6A5B"/>
    <w:rsid w:val="008C1507"/>
    <w:rsid w:val="0091467B"/>
    <w:rsid w:val="00934D77"/>
    <w:rsid w:val="009410E9"/>
    <w:rsid w:val="00A62F32"/>
    <w:rsid w:val="00AE32F7"/>
    <w:rsid w:val="00B074E6"/>
    <w:rsid w:val="00CC0987"/>
    <w:rsid w:val="00CE49C9"/>
    <w:rsid w:val="00D12D2E"/>
    <w:rsid w:val="00D130CD"/>
    <w:rsid w:val="00D724E2"/>
    <w:rsid w:val="00D7257C"/>
    <w:rsid w:val="00D730F2"/>
    <w:rsid w:val="00D94E8E"/>
    <w:rsid w:val="00DB5186"/>
    <w:rsid w:val="00DC2C38"/>
    <w:rsid w:val="00E80E8D"/>
    <w:rsid w:val="00E81B9F"/>
    <w:rsid w:val="00ED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013BC"/>
  <w15:chartTrackingRefBased/>
  <w15:docId w15:val="{46B81667-E8AD-A844-9A9E-2B9714C6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4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0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4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4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4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4A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4A5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09682B"/>
  </w:style>
  <w:style w:type="paragraph" w:styleId="Header">
    <w:name w:val="header"/>
    <w:basedOn w:val="Normal"/>
    <w:link w:val="HeaderChar"/>
    <w:uiPriority w:val="99"/>
    <w:unhideWhenUsed/>
    <w:rsid w:val="00D94E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E8E"/>
  </w:style>
  <w:style w:type="paragraph" w:styleId="Footer">
    <w:name w:val="footer"/>
    <w:basedOn w:val="Normal"/>
    <w:link w:val="FooterChar"/>
    <w:uiPriority w:val="99"/>
    <w:unhideWhenUsed/>
    <w:rsid w:val="00D94E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1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Malia</dc:creator>
  <cp:keywords/>
  <dc:description/>
  <cp:lastModifiedBy>Gardner, Kerith</cp:lastModifiedBy>
  <cp:revision>3</cp:revision>
  <cp:lastPrinted>2019-10-21T17:07:00Z</cp:lastPrinted>
  <dcterms:created xsi:type="dcterms:W3CDTF">2020-01-21T23:41:00Z</dcterms:created>
  <dcterms:modified xsi:type="dcterms:W3CDTF">2020-01-21T23:41:00Z</dcterms:modified>
</cp:coreProperties>
</file>