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B" w:rsidRPr="00F73FFB" w:rsidRDefault="00F73FFB" w:rsidP="00F73FFB">
      <w:pPr>
        <w:jc w:val="center"/>
        <w:rPr>
          <w:rFonts w:ascii="Calibri" w:eastAsia="Times New Roman" w:hAnsi="Calibri" w:cs="Helvetica"/>
          <w:b/>
          <w:sz w:val="22"/>
          <w:szCs w:val="22"/>
        </w:rPr>
      </w:pPr>
      <w:r w:rsidRPr="00F73FFB">
        <w:rPr>
          <w:rFonts w:ascii="Calibri" w:eastAsia="Times New Roman" w:hAnsi="Calibri" w:cs="Helvetica"/>
          <w:b/>
          <w:sz w:val="22"/>
          <w:szCs w:val="22"/>
        </w:rPr>
        <w:t>University Policy on Adjunct Appointment Limits as Explained by HR May 2020</w:t>
      </w:r>
    </w:p>
    <w:p w:rsidR="00F73FFB" w:rsidRDefault="00F73FFB" w:rsidP="00F73FFB">
      <w:pPr>
        <w:rPr>
          <w:rFonts w:ascii="Calibri" w:eastAsia="Times New Roman" w:hAnsi="Calibri" w:cs="Helvetica"/>
          <w:sz w:val="22"/>
          <w:szCs w:val="22"/>
        </w:rPr>
      </w:pPr>
    </w:p>
    <w:p w:rsidR="00F73FFB" w:rsidRPr="00F73FFB" w:rsidRDefault="00F73FFB" w:rsidP="00F73FFB">
      <w:pPr>
        <w:pStyle w:val="ListParagraph"/>
        <w:numPr>
          <w:ilvl w:val="0"/>
          <w:numId w:val="1"/>
        </w:numPr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Postdoctoral research scholars are able to teach 1 course per semester and capped at 2 per year. </w:t>
      </w:r>
      <w:r>
        <w:rPr>
          <w:rStyle w:val="EndnoteReference"/>
          <w:rFonts w:ascii="Calibri" w:eastAsia="Times New Roman" w:hAnsi="Calibri" w:cs="Helvetica"/>
          <w:sz w:val="22"/>
          <w:szCs w:val="22"/>
        </w:rPr>
        <w:endnoteReference w:id="1"/>
      </w:r>
    </w:p>
    <w:p w:rsidR="00F73FFB" w:rsidRPr="00F73FFB" w:rsidRDefault="00F73FFB" w:rsidP="00F73FFB">
      <w:pPr>
        <w:ind w:left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 </w:t>
      </w:r>
    </w:p>
    <w:p w:rsidR="00F73FFB" w:rsidRPr="00F73FFB" w:rsidRDefault="00F73FFB" w:rsidP="00F73FFB">
      <w:pPr>
        <w:rPr>
          <w:rFonts w:ascii="Calibri" w:eastAsia="Times New Roman" w:hAnsi="Calibri" w:cs="Helvetica"/>
          <w:b/>
          <w:sz w:val="22"/>
          <w:szCs w:val="22"/>
        </w:rPr>
      </w:pPr>
      <w:r w:rsidRPr="00F73FFB">
        <w:rPr>
          <w:rFonts w:ascii="Calibri" w:eastAsia="Times New Roman" w:hAnsi="Calibri" w:cs="Helvetica"/>
          <w:b/>
          <w:sz w:val="22"/>
          <w:szCs w:val="22"/>
        </w:rPr>
        <w:t>Administrators:</w:t>
      </w:r>
    </w:p>
    <w:p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Administrators can teach 2 classes in an academic year in addition to their administrative role. Currently half term courses are counted as full courses for Administrators as written in the faculty handbook.</w:t>
      </w:r>
    </w:p>
    <w:p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If they teach they will have a second position and be appointed as an adjunct with an appropriate title approved by the Provost’s Office.</w:t>
      </w:r>
    </w:p>
    <w:p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Their adjunct compensation (if any) must be approved in advance by the Vice Dean of Administration at the Business School.</w:t>
      </w:r>
    </w:p>
    <w:p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If they are from an outside School or Department, the Business School is obligated to obtain their home school permission (i.e. David Lerner).  Currently HR obtains this permission.</w:t>
      </w:r>
    </w:p>
    <w:p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If they are Grade 15 or above, HR is required to obtain permission from Central HR to pay the administrator an adjunct salary. (from any School or Department, including the B School).</w:t>
      </w:r>
    </w:p>
    <w:p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Administrator teaching limits are calculated University wide, so courses taught at another school must be included in teaching limits.</w:t>
      </w:r>
    </w:p>
    <w:p w:rsidR="00F73FFB" w:rsidRPr="00F73FFB" w:rsidRDefault="00F73FFB" w:rsidP="00F73FFB">
      <w:pPr>
        <w:ind w:left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 </w:t>
      </w:r>
    </w:p>
    <w:p w:rsidR="00F73FFB" w:rsidRPr="00F73FFB" w:rsidRDefault="00F73FFB" w:rsidP="00F73FFB">
      <w:pPr>
        <w:ind w:left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 </w:t>
      </w:r>
      <w:bookmarkStart w:id="0" w:name="_GoBack"/>
      <w:bookmarkEnd w:id="0"/>
    </w:p>
    <w:p w:rsidR="00F73FFB" w:rsidRPr="00D64D35" w:rsidRDefault="00F73FFB" w:rsidP="00D64D35">
      <w:pPr>
        <w:rPr>
          <w:rFonts w:ascii="Calibri" w:eastAsia="Times New Roman" w:hAnsi="Calibri" w:cs="Helvetica"/>
          <w:b/>
          <w:sz w:val="22"/>
          <w:szCs w:val="22"/>
        </w:rPr>
      </w:pPr>
      <w:r w:rsidRPr="00D64D35">
        <w:rPr>
          <w:rFonts w:ascii="Calibri" w:eastAsia="Times New Roman" w:hAnsi="Calibri" w:cs="Helvetica"/>
          <w:b/>
          <w:sz w:val="22"/>
          <w:szCs w:val="22"/>
        </w:rPr>
        <w:t>Adjunct faculty:</w:t>
      </w:r>
    </w:p>
    <w:p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Adjuncts can teach 3 courses per academic year (fall, spring, summer), but not more than 2 in one term.</w:t>
      </w:r>
    </w:p>
    <w:p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Half courses and co-taught courses are counted as half credit; for example an adjunct may teach up to 4 half courses in a term which totals 2 full courses. Co teaching a</w:t>
      </w:r>
      <w:r w:rsidRPr="00F73FFB"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 w:rsidRPr="00F73FFB">
        <w:rPr>
          <w:rFonts w:ascii="Calibri" w:eastAsia="Times New Roman" w:hAnsi="Calibri" w:cs="Helvetica"/>
          <w:b/>
          <w:bCs/>
          <w:sz w:val="22"/>
          <w:szCs w:val="22"/>
        </w:rPr>
        <w:t>full</w:t>
      </w:r>
      <w:r w:rsidRPr="00F73FFB">
        <w:rPr>
          <w:rStyle w:val="apple-converted-space"/>
          <w:rFonts w:ascii="Calibri" w:eastAsia="Times New Roman" w:hAnsi="Calibri" w:cs="Helvetica"/>
          <w:b/>
          <w:bCs/>
          <w:sz w:val="22"/>
          <w:szCs w:val="22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term counts as a</w:t>
      </w:r>
      <w:r w:rsidRPr="00F73FFB">
        <w:rPr>
          <w:rStyle w:val="apple-converted-space"/>
          <w:rFonts w:ascii="Calibri" w:eastAsia="Times New Roman" w:hAnsi="Calibri" w:cs="Helvetica"/>
          <w:b/>
          <w:bCs/>
          <w:sz w:val="22"/>
          <w:szCs w:val="22"/>
        </w:rPr>
        <w:t> </w:t>
      </w:r>
      <w:r w:rsidRPr="00F73FFB">
        <w:rPr>
          <w:rFonts w:ascii="Calibri" w:eastAsia="Times New Roman" w:hAnsi="Calibri" w:cs="Helvetica"/>
          <w:b/>
          <w:bCs/>
          <w:sz w:val="22"/>
          <w:szCs w:val="22"/>
        </w:rPr>
        <w:t>full</w:t>
      </w:r>
      <w:r w:rsidRPr="00F73FFB"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term, not half. Only half term courses count as half credit (again, only applies to peer adjuncts, not administrators).</w:t>
      </w:r>
    </w:p>
    <w:p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Course and consecutive counts re-start in fall, so all fall adjuncts begin with a clean slate. The Business School year is Fall Spring Summer, but that is not a University wide calendar so other teaching on campus requires consideration into total count.</w:t>
      </w:r>
    </w:p>
    <w:p w:rsidR="00F73FFB" w:rsidRPr="00F73FFB" w:rsidRDefault="00F73FFB" w:rsidP="00F73FFB">
      <w:pPr>
        <w:ind w:left="360" w:firstLine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Adjunct teaching limits are calculated University wide, so courses taught at another school must be included in adjunct teaching limits.</w:t>
      </w:r>
    </w:p>
    <w:p w:rsidR="00F73FFB" w:rsidRPr="00F73FFB" w:rsidRDefault="00F73FFB" w:rsidP="00F73FFB">
      <w:pPr>
        <w:ind w:left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 </w:t>
      </w:r>
    </w:p>
    <w:p w:rsidR="00575F1F" w:rsidRPr="00F73FFB" w:rsidRDefault="00575F1F">
      <w:pPr>
        <w:ind w:left="360"/>
      </w:pPr>
    </w:p>
    <w:sectPr w:rsidR="00575F1F" w:rsidRPr="00F7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75" w:rsidRDefault="00FF4E75" w:rsidP="00F73FFB">
      <w:r>
        <w:separator/>
      </w:r>
    </w:p>
  </w:endnote>
  <w:endnote w:type="continuationSeparator" w:id="0">
    <w:p w:rsidR="00FF4E75" w:rsidRDefault="00FF4E75" w:rsidP="00F73FFB">
      <w:r>
        <w:continuationSeparator/>
      </w:r>
    </w:p>
  </w:endnote>
  <w:endnote w:id="1">
    <w:p w:rsidR="00F73FFB" w:rsidRDefault="00F73FFB">
      <w:pPr>
        <w:pStyle w:val="EndnoteText"/>
      </w:pPr>
      <w:r>
        <w:rPr>
          <w:rStyle w:val="EndnoteReference"/>
        </w:rPr>
        <w:endnoteRef/>
      </w:r>
      <w:r>
        <w:t xml:space="preserve"> The Special Management Postdoc Program for Negotiations Fellows</w:t>
      </w:r>
      <w:r w:rsidR="00D64D35">
        <w:t xml:space="preserve">:  </w:t>
      </w:r>
      <w:hyperlink r:id="rId1" w:history="1">
        <w:r w:rsidR="00D64D35">
          <w:rPr>
            <w:rStyle w:val="Hyperlink"/>
          </w:rPr>
          <w:t>Postdoctoral Program - Management Division (2017)</w:t>
        </w:r>
      </w:hyperlink>
      <w:r>
        <w:t>, approved by the Provost’s Office</w:t>
      </w:r>
      <w:r w:rsidR="00340CBF">
        <w:t>, allows</w:t>
      </w:r>
      <w:r>
        <w:t xml:space="preserve"> for 2 sections to be taught simultaneously.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ID Font+ F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75" w:rsidRDefault="00FF4E75" w:rsidP="00F73FFB">
      <w:r>
        <w:separator/>
      </w:r>
    </w:p>
  </w:footnote>
  <w:footnote w:type="continuationSeparator" w:id="0">
    <w:p w:rsidR="00FF4E75" w:rsidRDefault="00FF4E75" w:rsidP="00F7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483D"/>
    <w:multiLevelType w:val="hybridMultilevel"/>
    <w:tmpl w:val="1BD87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FB"/>
    <w:rsid w:val="00340CBF"/>
    <w:rsid w:val="00575F1F"/>
    <w:rsid w:val="00D64D35"/>
    <w:rsid w:val="00F73FFB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3FFB"/>
  </w:style>
  <w:style w:type="paragraph" w:styleId="ListParagraph">
    <w:name w:val="List Paragraph"/>
    <w:basedOn w:val="Normal"/>
    <w:uiPriority w:val="34"/>
    <w:qFormat/>
    <w:rsid w:val="00F73FF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73F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3FF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3FF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64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3FFB"/>
  </w:style>
  <w:style w:type="paragraph" w:styleId="ListParagraph">
    <w:name w:val="List Paragraph"/>
    <w:basedOn w:val="Normal"/>
    <w:uiPriority w:val="34"/>
    <w:qFormat/>
    <w:rsid w:val="00F73FF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73F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3FF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3FF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6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8.gsb.columbia.edu/faculty-staff/system/files/Columbia%20Business%20School%20Management%20Research%20and%20Teaching%20Fellows%20Program%204-20-2017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5F31-7706-4AC1-9932-978B86EC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Vice Dean's Office</dc:creator>
  <cp:lastModifiedBy>Senior Vice Dean's Office</cp:lastModifiedBy>
  <cp:revision>2</cp:revision>
  <dcterms:created xsi:type="dcterms:W3CDTF">2020-05-19T16:14:00Z</dcterms:created>
  <dcterms:modified xsi:type="dcterms:W3CDTF">2020-05-19T16:19:00Z</dcterms:modified>
</cp:coreProperties>
</file>