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B3C6" w14:textId="4AE93922" w:rsidR="00DA65D3" w:rsidRPr="00E35842" w:rsidRDefault="00C937FE" w:rsidP="00E35842">
      <w:pPr>
        <w:jc w:val="center"/>
        <w:rPr>
          <w:smallCaps/>
        </w:rPr>
      </w:pPr>
      <w:r w:rsidRPr="00E35842">
        <w:rPr>
          <w:smallCaps/>
        </w:rPr>
        <w:t xml:space="preserve">A </w:t>
      </w:r>
      <w:r w:rsidR="000A7C50" w:rsidRPr="00E35842">
        <w:rPr>
          <w:smallCaps/>
        </w:rPr>
        <w:t xml:space="preserve">New </w:t>
      </w:r>
      <w:r w:rsidRPr="00E35842">
        <w:rPr>
          <w:smallCaps/>
        </w:rPr>
        <w:t xml:space="preserve">Growth Strategy </w:t>
      </w:r>
      <w:r w:rsidR="000A7C50" w:rsidRPr="00E35842">
        <w:rPr>
          <w:smallCaps/>
        </w:rPr>
        <w:t>for Developing Nations</w:t>
      </w:r>
    </w:p>
    <w:p w14:paraId="0B84390B" w14:textId="469B6A14" w:rsidR="0034592D" w:rsidRDefault="0034592D" w:rsidP="00E35842">
      <w:pPr>
        <w:spacing w:after="0" w:line="240" w:lineRule="auto"/>
        <w:jc w:val="center"/>
      </w:pPr>
      <w:r>
        <w:t>Dani Rodrik and Joseph E. Stiglitz</w:t>
      </w:r>
      <w:r w:rsidR="00B23274">
        <w:rPr>
          <w:rStyle w:val="FootnoteReference"/>
        </w:rPr>
        <w:footnoteReference w:id="1"/>
      </w:r>
    </w:p>
    <w:p w14:paraId="116F969A" w14:textId="7D1FB0E2" w:rsidR="000A7C50" w:rsidRDefault="004A3C04" w:rsidP="00E35842">
      <w:pPr>
        <w:spacing w:after="0" w:line="240" w:lineRule="auto"/>
        <w:jc w:val="center"/>
      </w:pPr>
      <w:r>
        <w:t xml:space="preserve">Revised, February </w:t>
      </w:r>
      <w:r w:rsidR="00C937FE">
        <w:t>202</w:t>
      </w:r>
      <w:r w:rsidR="005811C9">
        <w:t>4</w:t>
      </w:r>
    </w:p>
    <w:p w14:paraId="3AF0E46C" w14:textId="77777777" w:rsidR="0034592D" w:rsidRDefault="0034592D"/>
    <w:p w14:paraId="59AD1B37" w14:textId="74D8C455" w:rsidR="000A7C50" w:rsidRDefault="00C937FE">
      <w:r>
        <w:t>N</w:t>
      </w:r>
      <w:r w:rsidR="000A7C50">
        <w:t xml:space="preserve">ot so long ago, the development community was brimming with optimism on the developing world’s </w:t>
      </w:r>
      <w:r w:rsidR="000D4367">
        <w:t xml:space="preserve">economic </w:t>
      </w:r>
      <w:r w:rsidR="000A7C50">
        <w:t xml:space="preserve">prospects. Economic growth was up, extreme poverty sharply down, and there seemed </w:t>
      </w:r>
      <w:r w:rsidR="00536D6F">
        <w:t xml:space="preserve">to have emerged a </w:t>
      </w:r>
      <w:r w:rsidR="000A7C50">
        <w:t>clear consensus on the outlines of a grow</w:t>
      </w:r>
      <w:r w:rsidR="00536D6F">
        <w:t xml:space="preserve">th strategy based on integration in the world economy. There were plenty of debates on the particulars of the strategy: the experience of China, which had engineered history’s most spectacular poverty reduction, </w:t>
      </w:r>
      <w:r w:rsidR="003E143A">
        <w:t xml:space="preserve">gave ammunition to advocates of </w:t>
      </w:r>
      <w:r w:rsidR="00951E86">
        <w:t xml:space="preserve">both </w:t>
      </w:r>
      <w:r w:rsidR="003E143A">
        <w:t>market-oriented and more state-directed approaches to development</w:t>
      </w:r>
      <w:r w:rsidR="003F2C85">
        <w:t xml:space="preserve"> alike</w:t>
      </w:r>
      <w:r w:rsidR="003E143A">
        <w:t xml:space="preserve">. But both sides agreed that, however achieved, export-oriented industrialization was the way to go. </w:t>
      </w:r>
    </w:p>
    <w:p w14:paraId="1E6E4EC9" w14:textId="6C166D16" w:rsidR="00192598" w:rsidRDefault="003E143A">
      <w:r>
        <w:t xml:space="preserve">This consensus has been shattered by several developments. Some of these were long-time in the making. </w:t>
      </w:r>
      <w:r w:rsidR="0037560C">
        <w:t>In particular, t</w:t>
      </w:r>
      <w:r>
        <w:t xml:space="preserve">echnological changes </w:t>
      </w:r>
      <w:r w:rsidR="00CD2D37">
        <w:t xml:space="preserve">have </w:t>
      </w:r>
      <w:r>
        <w:t xml:space="preserve">made manufacturing skill- and capital-intensive, and less and less labor-absorbing. </w:t>
      </w:r>
      <w:r w:rsidR="0037560C">
        <w:t xml:space="preserve">This </w:t>
      </w:r>
      <w:r>
        <w:t xml:space="preserve">undercut the efficacy of industrialization as a growth strategy. </w:t>
      </w:r>
      <w:r w:rsidR="00510EAD">
        <w:t xml:space="preserve">The ability of the growth strategy to absorb labor was reduced at the same time as the comparative advantage of developing countries was at least attenuated.  </w:t>
      </w:r>
      <w:r w:rsidR="0039193C">
        <w:t>As Figure 1 shows, economic growth rates in the developing world were already dropping in the years preceding the Covid pandemic.</w:t>
      </w:r>
    </w:p>
    <w:p w14:paraId="1F6A4E64" w14:textId="0899931C" w:rsidR="0039193C" w:rsidRDefault="0039193C">
      <w:r>
        <w:t xml:space="preserve">The pandemic itself accelerated and rendered visible other, more subtle trends. With lower growth, the debt problems of developing countries became crushing, </w:t>
      </w:r>
      <w:r w:rsidR="00CD2D37">
        <w:t xml:space="preserve">and </w:t>
      </w:r>
      <w:r>
        <w:t>low- and lower-middle income countries los</w:t>
      </w:r>
      <w:r w:rsidR="00CD2D37">
        <w:t>t</w:t>
      </w:r>
      <w:r>
        <w:t xml:space="preserve"> access to financial markets. Geopolitical competition between the U.S. and China and the creeping backlash against hyper-globalization transformed the global economic landscape and rendered the world economy less hospitable to growth through trade. </w:t>
      </w:r>
      <w:r w:rsidR="00192598">
        <w:t>As incomes in the developed countries increased, there was a shift away from manufactured goods to services, so the share of global output in manufacturing was in decline.</w:t>
      </w:r>
      <w:r w:rsidR="00510EAD">
        <w:t xml:space="preserve"> The impending climate-change crisis, and the requisite green transition, affected the agricultural sectors in many developing countries</w:t>
      </w:r>
      <w:r w:rsidR="002E6575">
        <w:t xml:space="preserve"> adversely. It also reduced </w:t>
      </w:r>
      <w:r w:rsidR="00510EAD">
        <w:t>global demand for material goods, especially those with a high carbon footprint, as opposed to services, and made the development of new technologies an imperative, further disadvantaging developing countries.</w:t>
      </w:r>
    </w:p>
    <w:p w14:paraId="186702C3" w14:textId="137A17B6" w:rsidR="000A7C50" w:rsidRDefault="0039193C">
      <w:r>
        <w:lastRenderedPageBreak/>
        <w:t xml:space="preserve"> </w:t>
      </w:r>
      <w:r w:rsidR="000A7C50" w:rsidRPr="000A7C50">
        <w:rPr>
          <w:noProof/>
        </w:rPr>
        <w:drawing>
          <wp:inline distT="0" distB="0" distL="0" distR="0" wp14:anchorId="29BFEBC9" wp14:editId="4C71503D">
            <wp:extent cx="5114290" cy="3743960"/>
            <wp:effectExtent l="0" t="0" r="0" b="8890"/>
            <wp:docPr id="1899712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4290" cy="3743960"/>
                    </a:xfrm>
                    <a:prstGeom prst="rect">
                      <a:avLst/>
                    </a:prstGeom>
                    <a:noFill/>
                    <a:ln>
                      <a:noFill/>
                    </a:ln>
                  </pic:spPr>
                </pic:pic>
              </a:graphicData>
            </a:graphic>
          </wp:inline>
        </w:drawing>
      </w:r>
    </w:p>
    <w:p w14:paraId="6980F2BD" w14:textId="77777777" w:rsidR="000A7C50" w:rsidRDefault="000A7C50">
      <w:pPr>
        <w:rPr>
          <w:sz w:val="20"/>
          <w:szCs w:val="20"/>
          <w:u w:val="single"/>
        </w:rPr>
      </w:pPr>
      <w:r w:rsidRPr="004831E3">
        <w:rPr>
          <w:sz w:val="20"/>
          <w:szCs w:val="20"/>
          <w:u w:val="single"/>
        </w:rPr>
        <w:t>Figure 1: Growth rates for developed and developing countries since 1950</w:t>
      </w:r>
    </w:p>
    <w:p w14:paraId="466AA7B0" w14:textId="4DBBC1F8" w:rsidR="00E15CE3" w:rsidRPr="00E35842" w:rsidRDefault="0063157A">
      <w:pPr>
        <w:rPr>
          <w:sz w:val="20"/>
          <w:szCs w:val="20"/>
        </w:rPr>
      </w:pPr>
      <w:r>
        <w:rPr>
          <w:sz w:val="20"/>
          <w:szCs w:val="20"/>
          <w:u w:val="single"/>
        </w:rPr>
        <w:t>S</w:t>
      </w:r>
      <w:r w:rsidR="00E15CE3" w:rsidRPr="00E15CE3">
        <w:rPr>
          <w:sz w:val="20"/>
          <w:szCs w:val="20"/>
          <w:u w:val="single"/>
        </w:rPr>
        <w:t>ources</w:t>
      </w:r>
      <w:r>
        <w:rPr>
          <w:sz w:val="20"/>
          <w:szCs w:val="20"/>
          <w:u w:val="single"/>
        </w:rPr>
        <w:t xml:space="preserve"> and notes</w:t>
      </w:r>
      <w:r w:rsidR="00E15CE3" w:rsidRPr="00E35842">
        <w:rPr>
          <w:sz w:val="20"/>
          <w:szCs w:val="20"/>
        </w:rPr>
        <w:t xml:space="preserve">: </w:t>
      </w:r>
      <w:r>
        <w:rPr>
          <w:sz w:val="20"/>
          <w:szCs w:val="20"/>
        </w:rPr>
        <w:t xml:space="preserve">Data are from </w:t>
      </w:r>
      <w:r w:rsidR="00E15CE3" w:rsidRPr="00E35842">
        <w:rPr>
          <w:sz w:val="20"/>
          <w:szCs w:val="20"/>
        </w:rPr>
        <w:t>Angus Maddison database, updated with dat</w:t>
      </w:r>
      <w:r>
        <w:rPr>
          <w:sz w:val="20"/>
          <w:szCs w:val="20"/>
        </w:rPr>
        <w:t>a</w:t>
      </w:r>
      <w:r w:rsidR="00E15CE3" w:rsidRPr="00E35842">
        <w:rPr>
          <w:sz w:val="20"/>
          <w:szCs w:val="20"/>
        </w:rPr>
        <w:t xml:space="preserve"> from World Bank, World Development Indicators.</w:t>
      </w:r>
      <w:r>
        <w:rPr>
          <w:sz w:val="20"/>
          <w:szCs w:val="20"/>
        </w:rPr>
        <w:t xml:space="preserve"> The curves </w:t>
      </w:r>
      <w:r w:rsidR="00E35842">
        <w:rPr>
          <w:sz w:val="20"/>
          <w:szCs w:val="20"/>
        </w:rPr>
        <w:t xml:space="preserve">labeled “lowess” </w:t>
      </w:r>
      <w:r>
        <w:rPr>
          <w:sz w:val="20"/>
          <w:szCs w:val="20"/>
        </w:rPr>
        <w:t>depict the smoothed trends of the annual observations for each group.</w:t>
      </w:r>
    </w:p>
    <w:p w14:paraId="020E2568" w14:textId="77777777" w:rsidR="002E6575" w:rsidRDefault="002E6575"/>
    <w:p w14:paraId="369FB94E" w14:textId="2B83FCD6" w:rsidR="00CF258B" w:rsidRDefault="004831E3">
      <w:r>
        <w:t xml:space="preserve">We argue in this essay that we are at a turning point </w:t>
      </w:r>
      <w:r w:rsidR="00CF258B">
        <w:t>in</w:t>
      </w:r>
      <w:r>
        <w:t xml:space="preserve"> development strategy. </w:t>
      </w:r>
      <w:r w:rsidR="00510EAD">
        <w:t>S</w:t>
      </w:r>
      <w:r>
        <w:t>trategies that worked well in the past are unlikely to do so in the decades ahead. In particular, the manufacturing- and export-based growth strategies that drove East Asia’s development miracles are no longer suited for today’s low-income countries</w:t>
      </w:r>
      <w:r w:rsidR="00510EAD">
        <w:t>; at the very least, they are insufficient</w:t>
      </w:r>
      <w:r>
        <w:t>. New technologies, the climate challenge, and the reconfiguration of globalization require a new approach for development emphasizing two critical areas: the green transition and labor-absorbing services. Unfortunately, policy makers do not have ready-made recipes or successful models to emulate. Confronting this challenge head-on will require</w:t>
      </w:r>
      <w:r w:rsidR="0037560C">
        <w:t xml:space="preserve"> therefore also building greater capacity to learn about new opportunities, constraints, and what works and doesn’t as governments </w:t>
      </w:r>
      <w:r>
        <w:t xml:space="preserve">experiment with new </w:t>
      </w:r>
      <w:r w:rsidR="00CF258B">
        <w:t xml:space="preserve">policies on a number of fronts. </w:t>
      </w:r>
    </w:p>
    <w:p w14:paraId="1D8FFBF6" w14:textId="77777777" w:rsidR="00CF258B" w:rsidRDefault="00CF258B">
      <w:r>
        <w:rPr>
          <w:u w:val="single"/>
        </w:rPr>
        <w:t>The strategic approach to economic development</w:t>
      </w:r>
    </w:p>
    <w:p w14:paraId="778D2E7F" w14:textId="382429BF" w:rsidR="00235EDA" w:rsidRDefault="000F0857">
      <w:r>
        <w:t xml:space="preserve">The fundamental source of economic development in the long-term </w:t>
      </w:r>
      <w:r w:rsidR="002E6575">
        <w:t>is</w:t>
      </w:r>
      <w:r w:rsidR="00235EDA">
        <w:t xml:space="preserve"> learning, both at the level of the individual, reflected in</w:t>
      </w:r>
      <w:r>
        <w:t xml:space="preserve"> </w:t>
      </w:r>
      <w:r w:rsidR="003F2C85">
        <w:t xml:space="preserve">the accumulation of </w:t>
      </w:r>
      <w:r>
        <w:t>human capital</w:t>
      </w:r>
      <w:r w:rsidR="006C34F0">
        <w:t xml:space="preserve"> and learning-to-learn</w:t>
      </w:r>
      <w:r w:rsidR="00E35842">
        <w:t>,</w:t>
      </w:r>
      <w:r w:rsidR="006C34F0">
        <w:rPr>
          <w:rStyle w:val="FootnoteReference"/>
        </w:rPr>
        <w:footnoteReference w:id="2"/>
      </w:r>
      <w:r w:rsidR="00235EDA">
        <w:t xml:space="preserve"> and</w:t>
      </w:r>
      <w:r>
        <w:t xml:space="preserve"> a</w:t>
      </w:r>
      <w:r w:rsidR="00235EDA">
        <w:t>t higher levels—</w:t>
      </w:r>
      <w:r w:rsidR="00235EDA">
        <w:lastRenderedPageBreak/>
        <w:t>organizational and societal learning</w:t>
      </w:r>
      <w:r w:rsidR="002E6575">
        <w:t xml:space="preserve">, including </w:t>
      </w:r>
      <w:r w:rsidR="003F2C85">
        <w:t xml:space="preserve">improved </w:t>
      </w:r>
      <w:r>
        <w:t>governance</w:t>
      </w:r>
      <w:r w:rsidR="00235EDA">
        <w:t>, which entails not just understanding the principles of what makes for good governance, but overcoming the impediments to their implementation</w:t>
      </w:r>
      <w:r>
        <w:t xml:space="preserve">. </w:t>
      </w:r>
      <w:r w:rsidR="00D62EBA">
        <w:t xml:space="preserve"> </w:t>
      </w:r>
      <w:r>
        <w:t xml:space="preserve">Sustainable economic growth requires patient building up these fundamentals – steady investment in education and skills and improvements in the quality of institutions. </w:t>
      </w:r>
    </w:p>
    <w:p w14:paraId="68CFEE80" w14:textId="6C830A05" w:rsidR="000F0857" w:rsidRDefault="000F0857">
      <w:r>
        <w:t xml:space="preserve">While </w:t>
      </w:r>
      <w:r w:rsidR="00DD2AAB">
        <w:t xml:space="preserve">the accumulation of </w:t>
      </w:r>
      <w:r w:rsidR="002E6575">
        <w:t xml:space="preserve">these </w:t>
      </w:r>
      <w:r w:rsidR="00DD2AAB">
        <w:t>fundamental</w:t>
      </w:r>
      <w:r w:rsidR="002E6575">
        <w:t xml:space="preserve"> capabilitie</w:t>
      </w:r>
      <w:r w:rsidR="00DD2AAB">
        <w:t xml:space="preserve">s is </w:t>
      </w:r>
      <w:r>
        <w:t>indispensable for development</w:t>
      </w:r>
      <w:r w:rsidR="00235EDA">
        <w:t xml:space="preserve">—it is a necessary condition—it is not sufficient; </w:t>
      </w:r>
      <w:r w:rsidR="00DD2AAB">
        <w:t>it is not a substitute for a strategy of economic development focused directly on structural transformation.</w:t>
      </w:r>
      <w:r w:rsidR="005016E8">
        <w:rPr>
          <w:rStyle w:val="FootnoteReference"/>
        </w:rPr>
        <w:footnoteReference w:id="3"/>
      </w:r>
      <w:r w:rsidR="00DD2AAB">
        <w:t xml:space="preserve"> In all successful cases of economic growth, in East Asia and elsewhere, these fundamentals improved </w:t>
      </w:r>
      <w:r w:rsidR="00DD2AAB" w:rsidRPr="003F2C85">
        <w:rPr>
          <w:u w:val="single"/>
        </w:rPr>
        <w:t>alongside</w:t>
      </w:r>
      <w:r w:rsidR="00DD2AAB">
        <w:t xml:space="preserve"> rapid economic growth. They are as much a result of growth as they were a precondition. </w:t>
      </w:r>
      <w:r w:rsidR="00235EDA">
        <w:t xml:space="preserve">Sustained rapid growth, in turn, requires structural transformation:  countries that had rapid growth, say based on natural resources, and did not have structural transformation saw that growth eviscerate with the end of the commodity boom. </w:t>
      </w:r>
      <w:r w:rsidR="003F2C85">
        <w:t>Moreover</w:t>
      </w:r>
      <w:r w:rsidR="00DD2AAB">
        <w:t xml:space="preserve">, countries that </w:t>
      </w:r>
      <w:r w:rsidR="003F2C85">
        <w:t xml:space="preserve">have </w:t>
      </w:r>
      <w:r w:rsidR="00DD2AAB">
        <w:t>focused solely on fundamentals and invested in education and governance without successfully promoting successful structural change have reaped meager rewards in terms of economic growth.</w:t>
      </w:r>
      <w:r w:rsidR="002538F7">
        <w:rPr>
          <w:rStyle w:val="FootnoteReference"/>
        </w:rPr>
        <w:footnoteReference w:id="4"/>
      </w:r>
      <w:r w:rsidR="00DD2AAB">
        <w:t xml:space="preserve"> The supply of human capital and good institutions yields little growth without simultaneous </w:t>
      </w:r>
      <w:r w:rsidR="003F2C85">
        <w:t xml:space="preserve">changes on the </w:t>
      </w:r>
      <w:r w:rsidR="00DD2AAB">
        <w:t>demand side</w:t>
      </w:r>
      <w:r w:rsidR="003F2C85">
        <w:t xml:space="preserve"> of the economy</w:t>
      </w:r>
      <w:r w:rsidR="00DD2AAB">
        <w:t xml:space="preserve">, which typically </w:t>
      </w:r>
      <w:r w:rsidR="00DC7B87">
        <w:t xml:space="preserve">come from the promotion of </w:t>
      </w:r>
      <w:r w:rsidR="00DD2AAB">
        <w:t>new</w:t>
      </w:r>
      <w:r w:rsidR="00DC7B87">
        <w:t>, modern</w:t>
      </w:r>
      <w:r w:rsidR="00DD2AAB">
        <w:t xml:space="preserve"> economic activities</w:t>
      </w:r>
      <w:r w:rsidR="006C56FB">
        <w:t xml:space="preserve">, and the structure of production, which come from the industrial policies discussed below.  </w:t>
      </w:r>
    </w:p>
    <w:p w14:paraId="0714ED57" w14:textId="506D289F" w:rsidR="00956D80" w:rsidRDefault="00956D80" w:rsidP="00DF512E">
      <w:r>
        <w:t>Still another essential element of strategy focuses on macroeconomics</w:t>
      </w:r>
      <w:r w:rsidR="003C7417">
        <w:t>. S</w:t>
      </w:r>
      <w:r>
        <w:t>mall open economies</w:t>
      </w:r>
      <w:r w:rsidR="003C7417">
        <w:t xml:space="preserve"> need to </w:t>
      </w:r>
      <w:r w:rsidR="002E6575">
        <w:t>en</w:t>
      </w:r>
      <w:r w:rsidR="003C7417">
        <w:t xml:space="preserve">sure they have </w:t>
      </w:r>
      <w:r>
        <w:t>exchange rates that are competitive</w:t>
      </w:r>
      <w:r w:rsidR="003C7417">
        <w:t>, maintaining overall balance between aggregate supply and demand without leaving the country dependent on short-term foreign capital and hence subject to “sudden stops</w:t>
      </w:r>
      <w:r w:rsidR="006C56FB">
        <w:t>,</w:t>
      </w:r>
      <w:r w:rsidR="003C7417">
        <w:t>”</w:t>
      </w:r>
      <w:r w:rsidR="00DF512E">
        <w:rPr>
          <w:rStyle w:val="FootnoteReference"/>
        </w:rPr>
        <w:footnoteReference w:id="5"/>
      </w:r>
      <w:r>
        <w:t xml:space="preserve"> </w:t>
      </w:r>
      <w:r w:rsidR="006C56FB">
        <w:t>and at a</w:t>
      </w:r>
      <w:r w:rsidR="00E35842">
        <w:t>s</w:t>
      </w:r>
      <w:r w:rsidR="006C56FB">
        <w:t xml:space="preserve"> high a level of employment as possible.  </w:t>
      </w:r>
      <w:r w:rsidR="003C7417">
        <w:t xml:space="preserve">This has been </w:t>
      </w:r>
      <w:r>
        <w:t>a key failure of many resource</w:t>
      </w:r>
      <w:r w:rsidR="002538F7">
        <w:t>-</w:t>
      </w:r>
      <w:r>
        <w:t>rich countries, a</w:t>
      </w:r>
      <w:r w:rsidR="003C7417">
        <w:t>s well as a</w:t>
      </w:r>
      <w:r>
        <w:t xml:space="preserve"> reason that many countries following Washington Consensus policies failed</w:t>
      </w:r>
      <w:r w:rsidR="003C7417">
        <w:t>.</w:t>
      </w:r>
      <w:r w:rsidR="002E6575">
        <w:t xml:space="preserve"> </w:t>
      </w:r>
      <w:r w:rsidR="003C7417">
        <w:t xml:space="preserve">Larger </w:t>
      </w:r>
      <w:r w:rsidR="00DF512E">
        <w:t>economies</w:t>
      </w:r>
      <w:r w:rsidR="003C7417">
        <w:t xml:space="preserve"> must</w:t>
      </w:r>
      <w:r w:rsidR="00DF512E">
        <w:t xml:space="preserve"> ensur</w:t>
      </w:r>
      <w:r w:rsidR="003C7417">
        <w:t>e</w:t>
      </w:r>
      <w:r w:rsidR="00DF512E">
        <w:t xml:space="preserve"> adequate aggregate demand</w:t>
      </w:r>
      <w:r w:rsidR="003C7417">
        <w:t xml:space="preserve"> to maintain high levels of capacity and employment</w:t>
      </w:r>
      <w:r w:rsidR="00DF512E">
        <w:t>.</w:t>
      </w:r>
    </w:p>
    <w:p w14:paraId="5A222A2E" w14:textId="513E5963" w:rsidR="00DC7B87" w:rsidRDefault="00DC7B87">
      <w:r>
        <w:t xml:space="preserve">The current focus in development </w:t>
      </w:r>
      <w:r w:rsidR="003F2C85">
        <w:t xml:space="preserve">economics </w:t>
      </w:r>
      <w:r>
        <w:t xml:space="preserve">on randomized controlled trials (RCTs) </w:t>
      </w:r>
      <w:r w:rsidR="003F2C85">
        <w:t>and other rigorous methods of causal inference has obscured the importance of structural change</w:t>
      </w:r>
      <w:r w:rsidR="00BB4CC0">
        <w:t xml:space="preserve"> and the need for an explicit strategy to promote it</w:t>
      </w:r>
      <w:r w:rsidR="003F2C85">
        <w:t xml:space="preserve">. </w:t>
      </w:r>
      <w:r>
        <w:t>RCTs have yielded many important</w:t>
      </w:r>
      <w:r w:rsidR="00846A09">
        <w:t xml:space="preserve"> policy</w:t>
      </w:r>
      <w:r>
        <w:t xml:space="preserve"> </w:t>
      </w:r>
      <w:r w:rsidR="00846A09">
        <w:t>insights</w:t>
      </w:r>
      <w:r>
        <w:t xml:space="preserve">, in public health, education and delivery of social services, and no doubt have contributed significantly to poverty reduction. But ultimately, long-term and sustainable economic development require more than a series of local interventions </w:t>
      </w:r>
      <w:r w:rsidR="003F2C85">
        <w:t>restricted</w:t>
      </w:r>
      <w:r>
        <w:t xml:space="preserve"> to policy domains where such experimental methods are applicable. </w:t>
      </w:r>
      <w:r w:rsidR="00ED18DC">
        <w:t xml:space="preserve">The most spectacular growth miracles of our time were the result of sectoral or economy-wide </w:t>
      </w:r>
      <w:r w:rsidR="00E37700">
        <w:t xml:space="preserve">policy </w:t>
      </w:r>
      <w:r w:rsidR="00ED18DC">
        <w:t>reforms</w:t>
      </w:r>
      <w:r w:rsidR="00846A09">
        <w:t xml:space="preserve"> that fostered new economic activities without the prior benefit of RCTs. China explicitly experimented by trying new policy arrangements in some provinces before launching them elsewhere. </w:t>
      </w:r>
      <w:r>
        <w:t xml:space="preserve">As these </w:t>
      </w:r>
      <w:r w:rsidR="00846A09">
        <w:t xml:space="preserve">experiences </w:t>
      </w:r>
      <w:r>
        <w:t xml:space="preserve">show, learning from policy successes and failures is possible even when </w:t>
      </w:r>
      <w:r w:rsidR="00ED18DC">
        <w:t xml:space="preserve">policy makers’ </w:t>
      </w:r>
      <w:r>
        <w:t xml:space="preserve">causal inference standards fall short of RCTs or other econometric techniques of “evidence-based policy making.” </w:t>
      </w:r>
      <w:r w:rsidR="00235EDA">
        <w:t xml:space="preserve">It would have been impossible to conduct </w:t>
      </w:r>
      <w:r w:rsidR="009F025D">
        <w:t>RCT</w:t>
      </w:r>
      <w:r w:rsidR="00134014">
        <w:t>s</w:t>
      </w:r>
      <w:r w:rsidR="009F025D">
        <w:t xml:space="preserve"> to </w:t>
      </w:r>
      <w:r w:rsidR="00F32063">
        <w:t>in</w:t>
      </w:r>
      <w:r w:rsidR="009F025D">
        <w:t xml:space="preserve">form the choice of the big strategies that really mattered: policymakers gleaned what they could by carefully making inferences based on theory, history, econometric studies, and the limited experiments that could be conducted.  </w:t>
      </w:r>
    </w:p>
    <w:p w14:paraId="73EBFF48" w14:textId="391E2ED8" w:rsidR="00824F60" w:rsidRDefault="00EB4648">
      <w:r>
        <w:t xml:space="preserve">Rapid </w:t>
      </w:r>
      <w:r w:rsidR="006C56FB">
        <w:t xml:space="preserve">sustained </w:t>
      </w:r>
      <w:r>
        <w:t xml:space="preserve">economic development </w:t>
      </w:r>
      <w:r w:rsidR="006C56FB">
        <w:t xml:space="preserve">thus </w:t>
      </w:r>
      <w:r>
        <w:t>requires an explicit strategy</w:t>
      </w:r>
      <w:r w:rsidR="00A3524B">
        <w:t xml:space="preserve"> targeting structural transformation</w:t>
      </w:r>
      <w:r>
        <w:t>.</w:t>
      </w:r>
      <w:r w:rsidR="005768DE">
        <w:rPr>
          <w:rStyle w:val="FootnoteReference"/>
        </w:rPr>
        <w:footnoteReference w:id="6"/>
      </w:r>
      <w:r>
        <w:t xml:space="preserve"> </w:t>
      </w:r>
      <w:r w:rsidR="00DC7970">
        <w:t>The common element running through a</w:t>
      </w:r>
      <w:r w:rsidR="00EA3B3C">
        <w:t xml:space="preserve">ll the rapid and sustained growth cases of our time </w:t>
      </w:r>
      <w:r w:rsidR="0057155F">
        <w:t>was</w:t>
      </w:r>
      <w:r>
        <w:t xml:space="preserve"> the </w:t>
      </w:r>
      <w:r w:rsidR="0057155F">
        <w:t xml:space="preserve">strategy of industrialization. </w:t>
      </w:r>
      <w:r w:rsidR="00E5301A">
        <w:t>During the early postwar era, this strategy was import-substituting industrialization (ISI). Combining heavy state intervention with import barriers, ISI focused on building domestic manufacturing capacity – initially consumer goods, followed by intermediate and capital-goods industries. While not all countries did well under this strategy, many countries in Latin America, Middle East and Sub-Saharan Africa experienced rapid economic growth until the oil shock of the second half of the 1970s. East and Southeast Asian countries led by Taiwan in the late 1950s and South Korea in the early 1960s also heavily promoted industrialization</w:t>
      </w:r>
      <w:r w:rsidR="0023485E">
        <w:t xml:space="preserve"> through a wide variety of measures</w:t>
      </w:r>
      <w:r w:rsidR="003B7B7B">
        <w:t xml:space="preserve"> including access to credit and tax incentives</w:t>
      </w:r>
      <w:r w:rsidR="00E5301A">
        <w:t xml:space="preserve">, but pushed their nascent manufacturing enterprises </w:t>
      </w:r>
      <w:r w:rsidR="003F2C85">
        <w:t xml:space="preserve">early on </w:t>
      </w:r>
      <w:r w:rsidR="00E5301A">
        <w:t>to export</w:t>
      </w:r>
      <w:r w:rsidR="003F2C85">
        <w:t xml:space="preserve">. </w:t>
      </w:r>
      <w:r w:rsidR="00E5301A">
        <w:t xml:space="preserve"> </w:t>
      </w:r>
    </w:p>
    <w:p w14:paraId="55D17963" w14:textId="5DCDD0F7" w:rsidR="00824F60" w:rsidRDefault="00E5301A">
      <w:r>
        <w:t>This export-oriented industrialization (EOI) model</w:t>
      </w:r>
      <w:r w:rsidR="0023485E">
        <w:t xml:space="preserve"> in East Asia</w:t>
      </w:r>
      <w:r>
        <w:t xml:space="preserve"> proved more sustainable, and eventually became the one to emulate for countries adopting more market-oriented approaches under the influence of the Washington Consensus. True to its market</w:t>
      </w:r>
      <w:r w:rsidR="003F2C85">
        <w:t xml:space="preserve">s </w:t>
      </w:r>
      <w:r>
        <w:t>focus</w:t>
      </w:r>
      <w:r w:rsidR="003F2C85">
        <w:t xml:space="preserve"> and aversion to government “intervention</w:t>
      </w:r>
      <w:r>
        <w:t>,</w:t>
      </w:r>
      <w:r w:rsidR="003F2C85">
        <w:t>”</w:t>
      </w:r>
      <w:r>
        <w:t xml:space="preserve"> however, the Washington Consensus </w:t>
      </w:r>
      <w:r w:rsidR="00824F60">
        <w:t xml:space="preserve">focused </w:t>
      </w:r>
      <w:r w:rsidR="003F2C85">
        <w:t>largely</w:t>
      </w:r>
      <w:r w:rsidR="00824F60">
        <w:t xml:space="preserve"> on “fundamentals” </w:t>
      </w:r>
      <w:r w:rsidR="003F2C85">
        <w:t xml:space="preserve">– investments in education, governance, and macroeconomic stability -- </w:t>
      </w:r>
      <w:r w:rsidR="00824F60">
        <w:t xml:space="preserve">and downplayed </w:t>
      </w:r>
      <w:r w:rsidR="00F32063">
        <w:rPr>
          <w:i/>
          <w:iCs/>
        </w:rPr>
        <w:t>structural transformation strategies</w:t>
      </w:r>
      <w:r w:rsidR="0023485E">
        <w:rPr>
          <w:i/>
          <w:iCs/>
        </w:rPr>
        <w:t xml:space="preserve"> </w:t>
      </w:r>
      <w:r w:rsidR="0023485E">
        <w:t xml:space="preserve">that were central to the success of the East Asia countries, including </w:t>
      </w:r>
      <w:r w:rsidR="00824F60">
        <w:t xml:space="preserve">the role of explicit trade and industrial policies (used in East Asia) to foster </w:t>
      </w:r>
      <w:r w:rsidR="001A1B07">
        <w:t xml:space="preserve">learning and </w:t>
      </w:r>
      <w:r w:rsidR="00824F60">
        <w:t xml:space="preserve">new industries. Largely as a result, the growth payoff to the Washington Consensus </w:t>
      </w:r>
      <w:r w:rsidR="003F2C85">
        <w:t xml:space="preserve">proved disappointing. </w:t>
      </w:r>
      <w:r w:rsidR="00824F60">
        <w:t xml:space="preserve"> </w:t>
      </w:r>
    </w:p>
    <w:p w14:paraId="19A7AD65" w14:textId="11949A23" w:rsidR="00551481" w:rsidRDefault="00824F60">
      <w:r>
        <w:t>China was the most significant success</w:t>
      </w:r>
      <w:r w:rsidR="0023485E">
        <w:t xml:space="preserve"> story</w:t>
      </w:r>
      <w:r>
        <w:t xml:space="preserve"> of the East Asian model. Once the Chinese government prioritized economic growth after 1978, its strategy combined market incentives with highly unconventional institutional arrangements – the household responsibility system and dual-track pricing in agriculture, township-and-village enterprises, special economic zones – to foster structural change</w:t>
      </w:r>
      <w:r w:rsidR="001A1B07">
        <w:t xml:space="preserve">, </w:t>
      </w:r>
      <w:r>
        <w:t>productive diversification</w:t>
      </w:r>
      <w:r w:rsidR="001A1B07">
        <w:t>, and new capabilities</w:t>
      </w:r>
      <w:r>
        <w:t xml:space="preserve">. Industrial policies promoting new manufacturing activities were a critical part of Chinese success. </w:t>
      </w:r>
      <w:r w:rsidR="00551481">
        <w:t>C</w:t>
      </w:r>
      <w:r w:rsidR="003F2C85">
        <w:t xml:space="preserve">hina was a beneficiary of increased globalization, </w:t>
      </w:r>
      <w:r w:rsidR="00551481">
        <w:t xml:space="preserve">but played the game largely by its own rules. </w:t>
      </w:r>
    </w:p>
    <w:p w14:paraId="00C7CE53" w14:textId="1F104E42" w:rsidR="00824F60" w:rsidRDefault="00824F60">
      <w:r>
        <w:t>By the 1990s, globalization had reached new heights</w:t>
      </w:r>
      <w:r w:rsidR="00D542F4">
        <w:t>. Under the new mo</w:t>
      </w:r>
      <w:r>
        <w:t>del of hyper-globalization</w:t>
      </w:r>
      <w:r w:rsidR="00D542F4">
        <w:t xml:space="preserve">, </w:t>
      </w:r>
      <w:r>
        <w:t xml:space="preserve">removing </w:t>
      </w:r>
      <w:r w:rsidR="003B7B7B">
        <w:t xml:space="preserve">or at least reducing </w:t>
      </w:r>
      <w:r>
        <w:t>tra</w:t>
      </w:r>
      <w:r w:rsidR="00D542F4">
        <w:t xml:space="preserve">nsaction costs on international trade, finance, and investment (“deep integration”) </w:t>
      </w:r>
      <w:r>
        <w:t xml:space="preserve">became a primary objective of economic policy. </w:t>
      </w:r>
      <w:r w:rsidR="00D542F4">
        <w:t>Reduction in these costs along with technological advances rendered g</w:t>
      </w:r>
      <w:r>
        <w:t xml:space="preserve">lobal value chains </w:t>
      </w:r>
      <w:r w:rsidR="00D542F4">
        <w:t>(GVCs) the predominant force shaping global production. Joining GVCs in turn became the main vehicle for promoting economic growth. Entering GVCs, the thinking went, would help promote new industries, increase productivity, and generate the structural change needed for growth.</w:t>
      </w:r>
      <w:r w:rsidR="00F32063">
        <w:rPr>
          <w:rStyle w:val="FootnoteReference"/>
        </w:rPr>
        <w:footnoteReference w:id="7"/>
      </w:r>
      <w:r w:rsidR="00D542F4">
        <w:t xml:space="preserve">  </w:t>
      </w:r>
      <w:r>
        <w:t xml:space="preserve"> </w:t>
      </w:r>
    </w:p>
    <w:p w14:paraId="3EA4592C" w14:textId="63F249DE" w:rsidR="00CF739A" w:rsidRDefault="00EF0B2B">
      <w:r>
        <w:t xml:space="preserve">However, just as global economic integration, EOI, and GVCs became the corner pieces of economic development strategy, their benefits were being undermined by a process of “premature de-industrialization” in developing countries. </w:t>
      </w:r>
      <w:r w:rsidR="00600E1E">
        <w:t>The primary culprit was skill- and capital-biased technological changes in manufacturing. These changes increased labor productivity substantially in the advanced economies where innovations originate. But they also undercut the comparative advantage of low-income economies in traditionally labor-intensive manufacturing. The quality and technological standards set by leading firms in GVCs rendered labor-intensive production in export-oriented sectors even less viable.</w:t>
      </w:r>
      <w:r w:rsidR="00551481">
        <w:rPr>
          <w:rStyle w:val="FootnoteReference"/>
        </w:rPr>
        <w:footnoteReference w:id="8"/>
      </w:r>
      <w:r w:rsidR="00600E1E">
        <w:t xml:space="preserve"> </w:t>
      </w:r>
    </w:p>
    <w:p w14:paraId="669379C8" w14:textId="192F8AFD" w:rsidR="00C44B15" w:rsidRDefault="00600E1E">
      <w:r>
        <w:t>The result was that globally competitive formal manufacturing sectors in developing countries ceased being labor-absorbing sectors. They turned into “enclave” sectors where very few of these economies</w:t>
      </w:r>
      <w:r w:rsidR="0023485E">
        <w:t>’</w:t>
      </w:r>
      <w:r>
        <w:t xml:space="preserve"> excess low-skilled labor could be employed.</w:t>
      </w:r>
      <w:r w:rsidR="00AA628E">
        <w:rPr>
          <w:rStyle w:val="FootnoteReference"/>
        </w:rPr>
        <w:footnoteReference w:id="9"/>
      </w:r>
      <w:r>
        <w:t xml:space="preserve"> In countries where manufacturing output held its own, manufacturing employment shrank (as a share of total employment). In the few cases where manufacturing employment registered an increase, the rise was concentrated in small, informal, and low-productivity enterprises, while large, internationally</w:t>
      </w:r>
      <w:r w:rsidR="004A3C04">
        <w:t xml:space="preserve"> </w:t>
      </w:r>
      <w:r>
        <w:t>competitive firms generated little demand for labor.</w:t>
      </w:r>
      <w:r w:rsidR="00551481">
        <w:rPr>
          <w:rStyle w:val="FootnoteReference"/>
        </w:rPr>
        <w:footnoteReference w:id="10"/>
      </w:r>
      <w:r>
        <w:t xml:space="preserve">    </w:t>
      </w:r>
      <w:r w:rsidR="00EF0B2B">
        <w:t xml:space="preserve"> </w:t>
      </w:r>
    </w:p>
    <w:p w14:paraId="776C74E2" w14:textId="4FF3BC17" w:rsidR="001B758A" w:rsidRDefault="00AA628E">
      <w:r>
        <w:t>Manufacturing employment matters because historically s</w:t>
      </w:r>
      <w:r w:rsidR="00457961">
        <w:t xml:space="preserve">tructural transformation </w:t>
      </w:r>
      <w:r>
        <w:t>in the form of industrialization has been</w:t>
      </w:r>
      <w:r w:rsidR="00457961">
        <w:t xml:space="preserve"> the key dynamic that dr</w:t>
      </w:r>
      <w:r>
        <w:t>ove</w:t>
      </w:r>
      <w:r w:rsidR="00457961">
        <w:t xml:space="preserve"> </w:t>
      </w:r>
      <w:r w:rsidR="00192598">
        <w:t>rapid</w:t>
      </w:r>
      <w:r w:rsidR="002E6575">
        <w:t xml:space="preserve"> economic growth</w:t>
      </w:r>
      <w:r w:rsidR="00F32063">
        <w:t>.</w:t>
      </w:r>
      <w:r w:rsidR="00192598">
        <w:rPr>
          <w:rStyle w:val="FootnoteReference"/>
        </w:rPr>
        <w:footnoteReference w:id="11"/>
      </w:r>
      <w:r w:rsidR="00457961">
        <w:t xml:space="preserve"> As workers move</w:t>
      </w:r>
      <w:r>
        <w:t>d</w:t>
      </w:r>
      <w:r w:rsidR="00457961">
        <w:t xml:space="preserve"> from low- to higher-productivity sectors, they increase</w:t>
      </w:r>
      <w:r>
        <w:t>d</w:t>
      </w:r>
      <w:r w:rsidR="00457961">
        <w:t xml:space="preserve"> their earnings, </w:t>
      </w:r>
      <w:r w:rsidR="002E6575">
        <w:t xml:space="preserve">aggregate </w:t>
      </w:r>
      <w:r w:rsidR="00457961">
        <w:t>productivity r</w:t>
      </w:r>
      <w:r>
        <w:t>ose</w:t>
      </w:r>
      <w:r w:rsidR="00457961">
        <w:t>, and economic growth t</w:t>
      </w:r>
      <w:r>
        <w:t>ook p</w:t>
      </w:r>
      <w:r w:rsidR="00457961">
        <w:t xml:space="preserve">lace. The key strategic question </w:t>
      </w:r>
      <w:r>
        <w:t xml:space="preserve">for the future </w:t>
      </w:r>
      <w:r w:rsidR="00457961">
        <w:t>that needs to be answered is: where will the better, more productive jobs come from?</w:t>
      </w:r>
      <w:r w:rsidR="00627794">
        <w:rPr>
          <w:rStyle w:val="FootnoteReference"/>
        </w:rPr>
        <w:footnoteReference w:id="12"/>
      </w:r>
      <w:r w:rsidR="00457961">
        <w:t xml:space="preserve"> </w:t>
      </w:r>
      <w:r w:rsidR="00C44B15">
        <w:t>While manufacturing will remain an important sector for most countries, we do not believe it can be the protagonist of economic growth in the way it was in East Asia and other successful economies of the past</w:t>
      </w:r>
      <w:r w:rsidR="007622A9">
        <w:t>, simply because the global share of employment in manufacturing will be declining, both because of the shift in global GDP away from manufacturing and the decreased labor intensity of manufacturing employment because of technological change</w:t>
      </w:r>
      <w:r w:rsidR="00C44B15">
        <w:t>.</w:t>
      </w:r>
      <w:r w:rsidR="007622A9">
        <w:t xml:space="preserve">  (This is not to say that a few smaller countries might be able to establish a niche in manufacturing and succeed through such a strategy.</w:t>
      </w:r>
      <w:r w:rsidR="007622A9">
        <w:rPr>
          <w:rStyle w:val="FootnoteReference"/>
        </w:rPr>
        <w:footnoteReference w:id="13"/>
      </w:r>
      <w:r w:rsidR="004A3C04">
        <w:t>)</w:t>
      </w:r>
      <w:r w:rsidR="007622A9">
        <w:t xml:space="preserve"> </w:t>
      </w:r>
      <w:r w:rsidR="00C44B15">
        <w:t xml:space="preserve"> </w:t>
      </w:r>
      <w:r w:rsidR="00457961">
        <w:t xml:space="preserve">Green industries and services </w:t>
      </w:r>
      <w:r w:rsidR="00192598">
        <w:t>m</w:t>
      </w:r>
      <w:r w:rsidR="002E6575">
        <w:t>ust</w:t>
      </w:r>
      <w:r w:rsidR="00192598">
        <w:t xml:space="preserve"> play an important role in </w:t>
      </w:r>
      <w:r w:rsidR="00457961">
        <w:t>fill</w:t>
      </w:r>
      <w:r w:rsidR="00192598">
        <w:t>ing</w:t>
      </w:r>
      <w:r w:rsidR="00457961">
        <w:t xml:space="preserve"> the void</w:t>
      </w:r>
      <w:r w:rsidR="00192598">
        <w:t>, especially in the next few decades</w:t>
      </w:r>
      <w:r w:rsidR="00457961">
        <w:t>.</w:t>
      </w:r>
      <w:r w:rsidR="0054740A">
        <w:t xml:space="preserve"> In the next two sections, we take up each area in turn.</w:t>
      </w:r>
      <w:r w:rsidR="005B5197">
        <w:rPr>
          <w:rStyle w:val="FootnoteReference"/>
        </w:rPr>
        <w:footnoteReference w:id="14"/>
      </w:r>
      <w:r w:rsidR="007622A9">
        <w:t xml:space="preserve"> </w:t>
      </w:r>
    </w:p>
    <w:p w14:paraId="7FE84D3C" w14:textId="243FA5F8" w:rsidR="00824F60" w:rsidRDefault="001B758A">
      <w:pPr>
        <w:rPr>
          <w:u w:val="single"/>
        </w:rPr>
      </w:pPr>
      <w:r>
        <w:rPr>
          <w:u w:val="single"/>
        </w:rPr>
        <w:t>The g</w:t>
      </w:r>
      <w:r w:rsidRPr="001B758A">
        <w:rPr>
          <w:u w:val="single"/>
        </w:rPr>
        <w:t>reen</w:t>
      </w:r>
      <w:r>
        <w:rPr>
          <w:u w:val="single"/>
        </w:rPr>
        <w:t xml:space="preserve"> transition</w:t>
      </w:r>
      <w:r w:rsidR="00C44B15" w:rsidRPr="001B758A">
        <w:rPr>
          <w:u w:val="single"/>
        </w:rPr>
        <w:t xml:space="preserve"> </w:t>
      </w:r>
    </w:p>
    <w:p w14:paraId="71C0E983" w14:textId="06CE4037" w:rsidR="00C45A1A" w:rsidRDefault="00867D7B" w:rsidP="00D0783E">
      <w:pPr>
        <w:spacing w:after="0"/>
      </w:pPr>
      <w:r>
        <w:t xml:space="preserve">Climate change imposes a large cost on low-income countries. They are especially vulnerable because of their location in zones that are most affected and because their low resources and limited fiscal space make </w:t>
      </w:r>
      <w:r w:rsidR="00C5168C">
        <w:t xml:space="preserve">the </w:t>
      </w:r>
      <w:r>
        <w:t>large</w:t>
      </w:r>
      <w:r w:rsidR="002E6575">
        <w:t>-</w:t>
      </w:r>
      <w:r>
        <w:t xml:space="preserve">scale spending </w:t>
      </w:r>
      <w:r w:rsidR="00C5168C">
        <w:t xml:space="preserve">necessary for adaptation and response to the damage of climate change </w:t>
      </w:r>
      <w:r>
        <w:t>difficult, if not impossible.</w:t>
      </w:r>
      <w:r w:rsidR="00A26F73">
        <w:t xml:space="preserve"> </w:t>
      </w:r>
      <w:r w:rsidR="00D50CE1">
        <w:t>Their exposure to e</w:t>
      </w:r>
      <w:r w:rsidR="006B6DD5">
        <w:t>xtreme weather events</w:t>
      </w:r>
      <w:r w:rsidR="00D50CE1">
        <w:t xml:space="preserve"> has increased</w:t>
      </w:r>
      <w:r w:rsidR="00AF49DE">
        <w:t>, resulting in losses to crops and livestock</w:t>
      </w:r>
      <w:r w:rsidR="00D50CE1">
        <w:t>. The d</w:t>
      </w:r>
      <w:r w:rsidR="00A26F73">
        <w:t xml:space="preserve">rag on growth is already evident in many cases, and is also being reflected in </w:t>
      </w:r>
      <w:r w:rsidR="00E522E7">
        <w:t xml:space="preserve">higher </w:t>
      </w:r>
      <w:r w:rsidR="00A26F73">
        <w:t>borrowing spread</w:t>
      </w:r>
      <w:r w:rsidR="00FB156A">
        <w:t>s</w:t>
      </w:r>
      <w:r w:rsidR="00E522E7">
        <w:t xml:space="preserve"> and reduced access to private finance</w:t>
      </w:r>
      <w:r w:rsidR="00FB156A">
        <w:t xml:space="preserve">. </w:t>
      </w:r>
    </w:p>
    <w:p w14:paraId="625EE05E" w14:textId="77777777" w:rsidR="00C45A1A" w:rsidRDefault="00C45A1A" w:rsidP="00D0783E">
      <w:pPr>
        <w:spacing w:after="0"/>
      </w:pPr>
    </w:p>
    <w:p w14:paraId="2B8BAB09" w14:textId="00D42367" w:rsidR="00552FA2" w:rsidRDefault="00CB347E" w:rsidP="00D0783E">
      <w:pPr>
        <w:spacing w:after="0"/>
      </w:pPr>
      <w:r>
        <w:t>In a world with complete and efficient markets and where governmental efforts are already optimized, the constraints imposed by climate change and the requisite adjustments would necessarily reduce well-being</w:t>
      </w:r>
      <w:r w:rsidR="00C5168C">
        <w:t>, and almost certainly growth</w:t>
      </w:r>
      <w:r>
        <w:t xml:space="preserve">. However, we are far from such a world. In our more realistic, second-best world, policy reforms </w:t>
      </w:r>
      <w:r w:rsidR="00C5168C">
        <w:t xml:space="preserve">in part induced by the need to respond to climate change </w:t>
      </w:r>
      <w:r>
        <w:t>could not only reduce the costs</w:t>
      </w:r>
      <w:r w:rsidR="00C5168C">
        <w:t xml:space="preserve"> imposed by climate change</w:t>
      </w:r>
      <w:r>
        <w:t xml:space="preserve">, but also potentially produce better outcomes relative to the business-as-usual counterfactual. In particular, </w:t>
      </w:r>
      <w:r w:rsidR="00E522E7">
        <w:t xml:space="preserve">the climate challenge </w:t>
      </w:r>
      <w:r>
        <w:t xml:space="preserve">can become </w:t>
      </w:r>
      <w:r w:rsidR="00C45A1A">
        <w:t xml:space="preserve">a growth opportunity </w:t>
      </w:r>
      <w:r w:rsidR="00E522E7">
        <w:t>if developing countries are able to turn it into an investment strategy.</w:t>
      </w:r>
      <w:r w:rsidR="00EE0682">
        <w:rPr>
          <w:rStyle w:val="FootnoteReference"/>
        </w:rPr>
        <w:footnoteReference w:id="15"/>
      </w:r>
      <w:r w:rsidR="00E522E7">
        <w:t xml:space="preserve"> </w:t>
      </w:r>
      <w:r w:rsidR="005B3128">
        <w:t>As several large-scale global models have shown, it is possible for well-designed climate action to boost growth in developing countries.</w:t>
      </w:r>
      <w:r w:rsidR="005B3128">
        <w:rPr>
          <w:rStyle w:val="FootnoteReference"/>
        </w:rPr>
        <w:footnoteReference w:id="16"/>
      </w:r>
      <w:r w:rsidR="005B3128">
        <w:t xml:space="preserve"> But, and this is </w:t>
      </w:r>
      <w:r w:rsidR="00F0796B">
        <w:t xml:space="preserve">a </w:t>
      </w:r>
      <w:r w:rsidR="005B3128">
        <w:t>key caveat, a</w:t>
      </w:r>
      <w:r w:rsidR="007F5AA0">
        <w:t xml:space="preserve"> plausible and desirable path towards a</w:t>
      </w:r>
      <w:r w:rsidR="00867D7B">
        <w:t xml:space="preserve"> green transition will require </w:t>
      </w:r>
      <w:r w:rsidR="007F5AA0" w:rsidRPr="00C110F7">
        <w:rPr>
          <w:u w:val="single"/>
        </w:rPr>
        <w:t xml:space="preserve">large up-front </w:t>
      </w:r>
      <w:r w:rsidR="00867D7B" w:rsidRPr="00C110F7">
        <w:rPr>
          <w:u w:val="single"/>
        </w:rPr>
        <w:t>investment</w:t>
      </w:r>
      <w:r w:rsidR="007F5AA0" w:rsidRPr="00C110F7">
        <w:rPr>
          <w:u w:val="single"/>
        </w:rPr>
        <w:t>s</w:t>
      </w:r>
      <w:r w:rsidR="00867D7B">
        <w:t xml:space="preserve">. </w:t>
      </w:r>
      <w:r w:rsidR="00F0796B">
        <w:t xml:space="preserve">It will also have to go beyond investment in mitigation to build cumulative and enduring capabilities in new productive domains (such as renewables, green industries, etc.). </w:t>
      </w:r>
    </w:p>
    <w:p w14:paraId="70064484" w14:textId="77777777" w:rsidR="00552FA2" w:rsidRDefault="00552FA2" w:rsidP="00D0783E">
      <w:pPr>
        <w:spacing w:after="0"/>
      </w:pPr>
    </w:p>
    <w:p w14:paraId="38EA6265" w14:textId="4D46FECE" w:rsidR="000734F9" w:rsidRDefault="008B594F" w:rsidP="00D0783E">
      <w:pPr>
        <w:spacing w:after="0"/>
      </w:pPr>
      <w:r>
        <w:t xml:space="preserve">There are </w:t>
      </w:r>
      <w:r w:rsidR="00552FA2">
        <w:t>multiple</w:t>
      </w:r>
      <w:r>
        <w:t xml:space="preserve"> key investment priorities related to the green transition</w:t>
      </w:r>
      <w:r w:rsidR="00DD2BAD">
        <w:t>.</w:t>
      </w:r>
      <w:r w:rsidR="00DD2BAD">
        <w:rPr>
          <w:rStyle w:val="FootnoteReference"/>
        </w:rPr>
        <w:footnoteReference w:id="17"/>
      </w:r>
      <w:r w:rsidR="00DD2BAD">
        <w:t xml:space="preserve"> </w:t>
      </w:r>
    </w:p>
    <w:p w14:paraId="71D2EB12" w14:textId="77777777" w:rsidR="000734F9" w:rsidRDefault="000734F9" w:rsidP="00D0783E">
      <w:pPr>
        <w:spacing w:after="0"/>
      </w:pPr>
    </w:p>
    <w:p w14:paraId="20336A90" w14:textId="63391A24" w:rsidR="000734F9" w:rsidRDefault="00DD2BAD" w:rsidP="00D0783E">
      <w:pPr>
        <w:spacing w:after="0"/>
      </w:pPr>
      <w:r>
        <w:t xml:space="preserve">The first is the transformation of the energy system, which entails moving from fossil fuels to renewable sources of energy. </w:t>
      </w:r>
      <w:r w:rsidR="000734F9">
        <w:t>Without decarbonization of energy use in developing countries</w:t>
      </w:r>
      <w:r w:rsidR="009F3C0A">
        <w:t xml:space="preserve">, and the phasing out of coal-fired </w:t>
      </w:r>
      <w:r w:rsidR="00D460D3">
        <w:t xml:space="preserve">power </w:t>
      </w:r>
      <w:r w:rsidR="009F3C0A">
        <w:t>plants in particular,</w:t>
      </w:r>
      <w:r w:rsidR="000734F9">
        <w:t xml:space="preserve"> it is difficult to see how the world can reach a target of net zero by the middle of the 21</w:t>
      </w:r>
      <w:r w:rsidR="000734F9" w:rsidRPr="000734F9">
        <w:rPr>
          <w:vertAlign w:val="superscript"/>
        </w:rPr>
        <w:t>st</w:t>
      </w:r>
      <w:r w:rsidR="000734F9">
        <w:t xml:space="preserve"> century. Rapid technological progress and the sharp decline in prices of </w:t>
      </w:r>
      <w:r w:rsidR="009F3C0A">
        <w:t>renewable energy h</w:t>
      </w:r>
      <w:r w:rsidR="000734F9">
        <w:t xml:space="preserve">ave made this goal more attainable. </w:t>
      </w:r>
      <w:r w:rsidR="009F3C0A">
        <w:t xml:space="preserve">But it will require massive new investments in infrastructure and electrification and in new sources of energy such as solar, wind, and green hydrogen. </w:t>
      </w:r>
    </w:p>
    <w:p w14:paraId="53294748" w14:textId="77777777" w:rsidR="00552FA2" w:rsidRDefault="00552FA2" w:rsidP="00D0783E">
      <w:pPr>
        <w:spacing w:after="0"/>
      </w:pPr>
    </w:p>
    <w:p w14:paraId="5060AF74" w14:textId="318240AB" w:rsidR="00772392" w:rsidRDefault="00552FA2" w:rsidP="00BC0C10">
      <w:pPr>
        <w:autoSpaceDE w:val="0"/>
        <w:autoSpaceDN w:val="0"/>
        <w:adjustRightInd w:val="0"/>
        <w:spacing w:after="0" w:line="240" w:lineRule="auto"/>
      </w:pPr>
      <w:r>
        <w:t xml:space="preserve">There will be requisite investments in each of the other systems that constitute a developing economy, and implementing some of them will be particularly difficult because of the decentralized nature of the investments that will be required. Transforming agriculture could lead to more productivity—higher standards of living for the large fractions of the population still dependent on that sector. </w:t>
      </w:r>
      <w:r w:rsidR="00772392">
        <w:t>Developing countries are also home to significant carbon sinks. They can make a substantial contribution to mitigating climate change by ensuring that their ecosystem resources are restored and well-protected. This will require a wide range of public investments in agriculture, forests, soils, and oceans. (This can be an especially important part of development strategies if there is success in putting into place arrangements that would compensate developing countries for the global environmental services they provide.)</w:t>
      </w:r>
    </w:p>
    <w:p w14:paraId="50C17A07" w14:textId="77777777" w:rsidR="00772392" w:rsidRDefault="00772392" w:rsidP="00D0783E">
      <w:pPr>
        <w:spacing w:after="0"/>
      </w:pPr>
    </w:p>
    <w:p w14:paraId="61FEE954" w14:textId="6CF7ACEC" w:rsidR="00552FA2" w:rsidRDefault="00552FA2" w:rsidP="00D0783E">
      <w:pPr>
        <w:spacing w:after="0"/>
      </w:pPr>
      <w:r>
        <w:t xml:space="preserve">Redesigning cities, with modern transportation systems and efficient housing, too could contribute to lowering emissions and greater productivity.  (The traffic jams that mark large capitals of developing countries around the world are bad for the climate and bad for living standards.)  </w:t>
      </w:r>
    </w:p>
    <w:p w14:paraId="76008202" w14:textId="77777777" w:rsidR="00552FA2" w:rsidRDefault="00552FA2" w:rsidP="00D0783E">
      <w:pPr>
        <w:spacing w:after="0"/>
      </w:pPr>
    </w:p>
    <w:p w14:paraId="5695B69F" w14:textId="42F4DCC1" w:rsidR="00134F1A" w:rsidRDefault="00772392" w:rsidP="00134F1A">
      <w:pPr>
        <w:autoSpaceDE w:val="0"/>
        <w:autoSpaceDN w:val="0"/>
        <w:adjustRightInd w:val="0"/>
        <w:spacing w:after="0" w:line="240" w:lineRule="auto"/>
      </w:pPr>
      <w:r>
        <w:t>A</w:t>
      </w:r>
      <w:r w:rsidR="00BC0C10">
        <w:t>nother</w:t>
      </w:r>
      <w:r w:rsidR="00DD2BAD">
        <w:t xml:space="preserve"> area is reducing the vulnerability of developing countries to damage from climate change.</w:t>
      </w:r>
      <w:r w:rsidR="00D460D3">
        <w:t xml:space="preserve"> </w:t>
      </w:r>
      <w:r w:rsidR="004A53E0">
        <w:t xml:space="preserve">Since many of the adverse effects of climate change are already locked in by past emissions, </w:t>
      </w:r>
      <w:r w:rsidR="00D460D3">
        <w:t>there are significant needs in building defenses against rising sea levels, desertification, and extreme heat.</w:t>
      </w:r>
      <w:r w:rsidR="004A53E0">
        <w:t xml:space="preserve"> Government will need to increase investments in </w:t>
      </w:r>
      <w:r w:rsidR="004A53E0">
        <w:rPr>
          <w:rFonts w:ascii="BrownTT-Light" w:hAnsi="BrownTT-Light" w:cs="BrownTT-Light"/>
          <w:color w:val="323E4F"/>
          <w:kern w:val="0"/>
        </w:rPr>
        <w:t xml:space="preserve">food and water systems, resilience of infrastructure and urban areas, and disaster risk management. </w:t>
      </w:r>
    </w:p>
    <w:p w14:paraId="38140D57" w14:textId="77777777" w:rsidR="00134F1A" w:rsidRDefault="00134F1A" w:rsidP="00134F1A">
      <w:pPr>
        <w:autoSpaceDE w:val="0"/>
        <w:autoSpaceDN w:val="0"/>
        <w:adjustRightInd w:val="0"/>
        <w:spacing w:after="0" w:line="240" w:lineRule="auto"/>
      </w:pPr>
    </w:p>
    <w:p w14:paraId="2040CB6C" w14:textId="2B98D4AC" w:rsidR="00772392" w:rsidRDefault="00E11EEA" w:rsidP="003F61A7">
      <w:pPr>
        <w:autoSpaceDE w:val="0"/>
        <w:autoSpaceDN w:val="0"/>
        <w:adjustRightInd w:val="0"/>
        <w:spacing w:after="0" w:line="240" w:lineRule="auto"/>
      </w:pPr>
      <w:r>
        <w:t xml:space="preserve">Songwe et al. estimate that the total investment needed </w:t>
      </w:r>
      <w:r w:rsidR="002E6575">
        <w:t xml:space="preserve">for such a strategy amounts to </w:t>
      </w:r>
      <w:r>
        <w:t>an additional 2 percent of GDP per year by 2025 and an additional 4 percent of GDP per year by 2030 (excluding China).</w:t>
      </w:r>
      <w:r w:rsidR="00C110F7">
        <w:rPr>
          <w:rStyle w:val="FootnoteReference"/>
        </w:rPr>
        <w:footnoteReference w:id="18"/>
      </w:r>
      <w:r>
        <w:t xml:space="preserve"> </w:t>
      </w:r>
      <w:r w:rsidR="00772392">
        <w:t>Many of these incremental expenditures reflect the up</w:t>
      </w:r>
      <w:r w:rsidR="002E6575">
        <w:t>-</w:t>
      </w:r>
      <w:r w:rsidR="00772392">
        <w:t xml:space="preserve">front costs of replacing capital goods that would otherwise eventually have to be replaced earlier.  Some of these incremental costs arise from the fact that many green technologies are more capital intensive than the corresponding non-green technologies—more labor now, but with the benefit of less labor in the future.  This is evident in the case of EV, where maintenance and driving costs are a fraction of those associated with the internal combustion engine.  </w:t>
      </w:r>
    </w:p>
    <w:p w14:paraId="4B1E6D23" w14:textId="77777777" w:rsidR="00772392" w:rsidRDefault="00772392" w:rsidP="003F61A7">
      <w:pPr>
        <w:autoSpaceDE w:val="0"/>
        <w:autoSpaceDN w:val="0"/>
        <w:adjustRightInd w:val="0"/>
        <w:spacing w:after="0" w:line="240" w:lineRule="auto"/>
      </w:pPr>
    </w:p>
    <w:p w14:paraId="10FF30E4" w14:textId="21239EEE" w:rsidR="00257E7C" w:rsidRDefault="00D0783E" w:rsidP="003F61A7">
      <w:pPr>
        <w:autoSpaceDE w:val="0"/>
        <w:autoSpaceDN w:val="0"/>
        <w:adjustRightInd w:val="0"/>
        <w:spacing w:after="0" w:line="240" w:lineRule="auto"/>
        <w:rPr>
          <w:lang w:val="en-GB"/>
        </w:rPr>
      </w:pPr>
      <w:r>
        <w:t>The feasibility of these actions depend</w:t>
      </w:r>
      <w:r w:rsidR="007117D2">
        <w:t>s</w:t>
      </w:r>
      <w:r>
        <w:t xml:space="preserve"> heavily on the </w:t>
      </w:r>
      <w:r w:rsidR="007117D2">
        <w:t>availability</w:t>
      </w:r>
      <w:r>
        <w:t xml:space="preserve"> of external financial support. Assuming half of th</w:t>
      </w:r>
      <w:r w:rsidR="00E11EEA">
        <w:t xml:space="preserve">e investment needs </w:t>
      </w:r>
      <w:r w:rsidR="00AA0361">
        <w:t>is met</w:t>
      </w:r>
      <w:r>
        <w:t xml:space="preserve"> through domestic resource mobilization</w:t>
      </w:r>
      <w:r w:rsidR="00E11EEA">
        <w:t xml:space="preserve"> (as Songwe et al. do)</w:t>
      </w:r>
      <w:r>
        <w:t xml:space="preserve">, developing countries as a group would require an additional 2-4% of GDP of external resource flows in the years ahead. </w:t>
      </w:r>
      <w:r w:rsidR="00467426">
        <w:t xml:space="preserve">Short of concerted global action by leading creditors and multilateral lenders, it is difficult to see how this could be achieved. The pandemic and rising food and fuel costs have left the developing world with severe debt problems. While only few have defaulted, scores of developing countries are currently illiquid. Net financial transfers to Africa have slowed down to a trickle and </w:t>
      </w:r>
      <w:r w:rsidR="00467426" w:rsidRPr="00D0783E">
        <w:rPr>
          <w:lang w:val="en-GB"/>
        </w:rPr>
        <w:t xml:space="preserve">low- and lower middle-income countries </w:t>
      </w:r>
      <w:r w:rsidR="00467426">
        <w:rPr>
          <w:lang w:val="en-GB"/>
        </w:rPr>
        <w:t xml:space="preserve">have essentially </w:t>
      </w:r>
      <w:r w:rsidR="00467426" w:rsidRPr="00D0783E">
        <w:rPr>
          <w:lang w:val="en-GB"/>
        </w:rPr>
        <w:t>lost access to bond market</w:t>
      </w:r>
      <w:r w:rsidR="00467426">
        <w:rPr>
          <w:lang w:val="en-GB"/>
        </w:rPr>
        <w:t xml:space="preserve">s. </w:t>
      </w:r>
    </w:p>
    <w:p w14:paraId="39C33EC5" w14:textId="77777777" w:rsidR="00257E7C" w:rsidRDefault="00257E7C" w:rsidP="003F61A7">
      <w:pPr>
        <w:autoSpaceDE w:val="0"/>
        <w:autoSpaceDN w:val="0"/>
        <w:adjustRightInd w:val="0"/>
        <w:spacing w:after="0" w:line="240" w:lineRule="auto"/>
        <w:rPr>
          <w:lang w:val="en-GB"/>
        </w:rPr>
      </w:pPr>
    </w:p>
    <w:p w14:paraId="6BE27D0C" w14:textId="75F209F6" w:rsidR="00467426" w:rsidRDefault="00467426" w:rsidP="003F61A7">
      <w:pPr>
        <w:autoSpaceDE w:val="0"/>
        <w:autoSpaceDN w:val="0"/>
        <w:adjustRightInd w:val="0"/>
        <w:spacing w:after="0" w:line="240" w:lineRule="auto"/>
        <w:rPr>
          <w:lang w:val="en-GB"/>
        </w:rPr>
      </w:pPr>
      <w:r>
        <w:rPr>
          <w:lang w:val="en-GB"/>
        </w:rPr>
        <w:t>Bridging the investment gap will require a new growth-oriented liquidity facility to allow the resumption of financial flows to these countries as well as speedier debt resolution.</w:t>
      </w:r>
      <w:r w:rsidR="007117D2">
        <w:rPr>
          <w:rStyle w:val="FootnoteReference"/>
          <w:lang w:val="en-GB"/>
        </w:rPr>
        <w:footnoteReference w:id="19"/>
      </w:r>
      <w:r>
        <w:rPr>
          <w:lang w:val="en-GB"/>
        </w:rPr>
        <w:t xml:space="preserve"> </w:t>
      </w:r>
      <w:r w:rsidR="00C21C75">
        <w:rPr>
          <w:lang w:val="en-GB"/>
        </w:rPr>
        <w:t xml:space="preserve">This will have to be supplemented with domestic mechanisms to ensure adequate access to finance by households and firms, regardless of size, for green investments. </w:t>
      </w:r>
      <w:r w:rsidR="002D2B66">
        <w:rPr>
          <w:lang w:val="en-GB"/>
        </w:rPr>
        <w:t>We note that a</w:t>
      </w:r>
      <w:r w:rsidR="00E11EEA">
        <w:rPr>
          <w:lang w:val="en-GB"/>
        </w:rPr>
        <w:t>ction on this front is in the interests of the advanced economies as well, since the climate transition is a global public good.</w:t>
      </w:r>
      <w:r w:rsidR="00E11EEA" w:rsidRPr="00E11EEA">
        <w:rPr>
          <w:lang w:val="en-GB"/>
        </w:rPr>
        <w:t xml:space="preserve"> </w:t>
      </w:r>
      <w:r w:rsidR="00E11EEA">
        <w:rPr>
          <w:lang w:val="en-GB"/>
        </w:rPr>
        <w:t>(See also the essays by Ocampo and Songwe in this collection.)</w:t>
      </w:r>
    </w:p>
    <w:p w14:paraId="09E6E0C0" w14:textId="77777777" w:rsidR="003F61A7" w:rsidRDefault="003F61A7" w:rsidP="00D0783E">
      <w:pPr>
        <w:autoSpaceDE w:val="0"/>
        <w:autoSpaceDN w:val="0"/>
        <w:adjustRightInd w:val="0"/>
        <w:spacing w:after="0" w:line="240" w:lineRule="auto"/>
      </w:pPr>
    </w:p>
    <w:p w14:paraId="7D771892" w14:textId="791680F6" w:rsidR="003F61A7" w:rsidRDefault="00D0783E" w:rsidP="003F61A7">
      <w:pPr>
        <w:autoSpaceDE w:val="0"/>
        <w:autoSpaceDN w:val="0"/>
        <w:adjustRightInd w:val="0"/>
        <w:spacing w:after="0" w:line="240" w:lineRule="auto"/>
      </w:pPr>
      <w:r>
        <w:t>If financing becomes available, and if the investment is deployed wisely, this ramping-up of investment in the climate transition could be an important element of the new growth strategy.</w:t>
      </w:r>
      <w:r w:rsidR="003F61A7">
        <w:t xml:space="preserve"> Such an investment program could yield an additional growth of 0.5-1.0 percent per annum for developing countries (assuming an ICOR of 4).</w:t>
      </w:r>
      <w:r w:rsidR="00BC0C10">
        <w:rPr>
          <w:rStyle w:val="FootnoteReference"/>
        </w:rPr>
        <w:footnoteReference w:id="20"/>
      </w:r>
      <w:r w:rsidR="003F61A7">
        <w:t xml:space="preserve"> </w:t>
      </w:r>
    </w:p>
    <w:p w14:paraId="2D25AC72" w14:textId="77777777" w:rsidR="00257E7C" w:rsidRDefault="00257E7C" w:rsidP="003F61A7">
      <w:pPr>
        <w:autoSpaceDE w:val="0"/>
        <w:autoSpaceDN w:val="0"/>
        <w:adjustRightInd w:val="0"/>
        <w:spacing w:after="0" w:line="240" w:lineRule="auto"/>
      </w:pPr>
    </w:p>
    <w:p w14:paraId="5F7F06B8" w14:textId="0AD59834" w:rsidR="00257E7C" w:rsidRDefault="00257E7C" w:rsidP="003F61A7">
      <w:pPr>
        <w:autoSpaceDE w:val="0"/>
        <w:autoSpaceDN w:val="0"/>
        <w:adjustRightInd w:val="0"/>
        <w:spacing w:after="0" w:line="240" w:lineRule="auto"/>
      </w:pPr>
      <w:r>
        <w:t>From a global perspective, the timing of the green transition may be relatively good:  we have a surplus of labor available to make the investments. Some have been worried about a savings glut or secular stagnation, suggesting a surfeit of savings; in any case, the global real interest rate has been low (</w:t>
      </w:r>
      <w:r w:rsidR="00BC0C10">
        <w:t>despite recent increases</w:t>
      </w:r>
      <w:r w:rsidR="003F362F">
        <w:t xml:space="preserve"> in the nominal rate</w:t>
      </w:r>
      <w:r>
        <w:t xml:space="preserve">). A key problem has been the risk premium imposed on developing countries—and even on relatively safe investments within those countries.  </w:t>
      </w:r>
    </w:p>
    <w:p w14:paraId="1F1A132C" w14:textId="77777777" w:rsidR="007B4454" w:rsidRDefault="007B4454" w:rsidP="00D0783E">
      <w:pPr>
        <w:autoSpaceDE w:val="0"/>
        <w:autoSpaceDN w:val="0"/>
        <w:adjustRightInd w:val="0"/>
        <w:spacing w:after="0" w:line="240" w:lineRule="auto"/>
      </w:pPr>
    </w:p>
    <w:p w14:paraId="61BC4890" w14:textId="45DB99CC" w:rsidR="007117D2" w:rsidRDefault="007B4454" w:rsidP="00D0783E">
      <w:pPr>
        <w:autoSpaceDE w:val="0"/>
        <w:autoSpaceDN w:val="0"/>
        <w:adjustRightInd w:val="0"/>
        <w:spacing w:after="0" w:line="240" w:lineRule="auto"/>
      </w:pPr>
      <w:r>
        <w:rPr>
          <w:u w:val="single"/>
        </w:rPr>
        <w:t>Better jobs in services</w:t>
      </w:r>
      <w:r w:rsidR="00D0783E">
        <w:t xml:space="preserve">      </w:t>
      </w:r>
    </w:p>
    <w:p w14:paraId="08C58944" w14:textId="77777777" w:rsidR="007117D2" w:rsidRDefault="007117D2" w:rsidP="00D0783E">
      <w:pPr>
        <w:autoSpaceDE w:val="0"/>
        <w:autoSpaceDN w:val="0"/>
        <w:adjustRightInd w:val="0"/>
        <w:spacing w:after="0" w:line="240" w:lineRule="auto"/>
      </w:pPr>
    </w:p>
    <w:p w14:paraId="08F0A3A7" w14:textId="001E420A" w:rsidR="0063653C" w:rsidRDefault="0063653C" w:rsidP="00D0783E">
      <w:pPr>
        <w:autoSpaceDE w:val="0"/>
        <w:autoSpaceDN w:val="0"/>
        <w:adjustRightInd w:val="0"/>
        <w:spacing w:after="0" w:line="240" w:lineRule="auto"/>
      </w:pPr>
      <w:r>
        <w:t>Investment in the green transition would turn what is essentially a cost for developing countries into a growth opportunity. But it is not clear that on its own it would answer the question: where will the better, more productive jobs come from? The climate transition could create new jobs in building solar and wind facilities, in infrastructure, and in mitigation activities. But it will also destroy actual (and potential) jobs in fossil-fuel dependent activities and in brown manufacturing.</w:t>
      </w:r>
      <w:r w:rsidR="00BC0C10">
        <w:t xml:space="preserve"> Even if on net it increases labor demand somewhat, developing countries </w:t>
      </w:r>
      <w:r w:rsidR="006D13B5">
        <w:t>still face the significant challenge of absorbing large amounts of additional labor from agriculture and informality into modern, productive sectors.</w:t>
      </w:r>
      <w:r w:rsidR="00F309EF">
        <w:t xml:space="preserve"> </w:t>
      </w:r>
      <w:r w:rsidR="00F309EF" w:rsidRPr="00757A76">
        <w:rPr>
          <w:rFonts w:cstheme="minorHAnsi"/>
        </w:rPr>
        <w:t>The problem of job creation in Africa is particularly acute. The World Bank estimates that “</w:t>
      </w:r>
      <w:r w:rsidR="00F309EF">
        <w:rPr>
          <w:rFonts w:cstheme="minorHAnsi"/>
        </w:rPr>
        <w:t>t</w:t>
      </w:r>
      <w:r w:rsidR="00F309EF" w:rsidRPr="00757A76">
        <w:rPr>
          <w:rFonts w:cstheme="minorHAnsi"/>
          <w:color w:val="333333"/>
          <w:shd w:val="clear" w:color="auto" w:fill="FAFAFA"/>
        </w:rPr>
        <w:t>he working age population in Sub-Saharan Africa is expected to increase by 740 million by 2050, more than doubling from its current level of 630 million people.”</w:t>
      </w:r>
      <w:r w:rsidR="00C17AA9">
        <w:rPr>
          <w:rStyle w:val="FootnoteReference"/>
        </w:rPr>
        <w:footnoteReference w:id="21"/>
      </w:r>
      <w:r w:rsidR="00F309EF">
        <w:rPr>
          <w:rFonts w:cstheme="minorHAnsi"/>
          <w:color w:val="333333"/>
          <w:shd w:val="clear" w:color="auto" w:fill="FAFAFA"/>
        </w:rPr>
        <w:t xml:space="preserve"> In the absence of job creation in more productive sectors, the bulk of this labor supply will be absorbed by precarious, unproductive informal activities in urban areas (as is the case at present).</w:t>
      </w:r>
      <w:r w:rsidR="006D13B5">
        <w:t xml:space="preserve"> </w:t>
      </w:r>
      <w:r>
        <w:t xml:space="preserve">On balance, it is unlikely that decarbonization-led structural transformation will </w:t>
      </w:r>
      <w:r w:rsidR="006D13B5">
        <w:t xml:space="preserve">produce on its own the jobs which would have been created in the past by industrialization. </w:t>
      </w:r>
    </w:p>
    <w:p w14:paraId="5DFA0F78" w14:textId="77777777" w:rsidR="0063653C" w:rsidRDefault="0063653C" w:rsidP="00D0783E">
      <w:pPr>
        <w:autoSpaceDE w:val="0"/>
        <w:autoSpaceDN w:val="0"/>
        <w:adjustRightInd w:val="0"/>
        <w:spacing w:after="0" w:line="240" w:lineRule="auto"/>
      </w:pPr>
    </w:p>
    <w:p w14:paraId="37962744" w14:textId="5987A436" w:rsidR="00B91F5A" w:rsidRDefault="0063653C" w:rsidP="00D0783E">
      <w:pPr>
        <w:autoSpaceDE w:val="0"/>
        <w:autoSpaceDN w:val="0"/>
        <w:adjustRightInd w:val="0"/>
        <w:spacing w:after="0" w:line="240" w:lineRule="auto"/>
      </w:pPr>
      <w:r>
        <w:t xml:space="preserve">The same could be said </w:t>
      </w:r>
      <w:r w:rsidR="00B91F5A">
        <w:t>of</w:t>
      </w:r>
      <w:r>
        <w:t xml:space="preserve"> agriculture. Agricultural modernization using new technologies and diversification into cash crops ha</w:t>
      </w:r>
      <w:r w:rsidR="00B91F5A">
        <w:t>v</w:t>
      </w:r>
      <w:r>
        <w:t>e</w:t>
      </w:r>
      <w:r w:rsidR="00B91F5A">
        <w:t xml:space="preserve"> significant potential in many developing countries. But it is difficult to envisage agriculture as a labor-absorbing sector </w:t>
      </w:r>
      <w:r w:rsidR="00AA0361">
        <w:t xml:space="preserve">for </w:t>
      </w:r>
      <w:r w:rsidR="00B91F5A">
        <w:t xml:space="preserve">the economy going forward. Most of the new technologies being introduced in agriculture are labor-saving and capital-intensive. </w:t>
      </w:r>
      <w:r w:rsidR="006D13B5">
        <w:t>Historically</w:t>
      </w:r>
      <w:r w:rsidR="00B91F5A">
        <w:t xml:space="preserve">, productivity gains in agriculture </w:t>
      </w:r>
      <w:r w:rsidR="006D13B5">
        <w:t xml:space="preserve">have been </w:t>
      </w:r>
      <w:r w:rsidR="00B91F5A">
        <w:t>associated with reductions rather than increases in farm employment.</w:t>
      </w:r>
      <w:r w:rsidR="006D13B5">
        <w:t xml:space="preserve"> It remains to be seen whether we could experience a different path, in view of the new constraints posed by climate change and land scarcity.</w:t>
      </w:r>
    </w:p>
    <w:p w14:paraId="77EDD8AE" w14:textId="77777777" w:rsidR="00B91F5A" w:rsidRDefault="00B91F5A" w:rsidP="00D0783E">
      <w:pPr>
        <w:autoSpaceDE w:val="0"/>
        <w:autoSpaceDN w:val="0"/>
        <w:adjustRightInd w:val="0"/>
        <w:spacing w:after="0" w:line="240" w:lineRule="auto"/>
      </w:pPr>
    </w:p>
    <w:p w14:paraId="18D30944" w14:textId="0F778755" w:rsidR="009523D1" w:rsidRDefault="00B91F5A" w:rsidP="00D0783E">
      <w:pPr>
        <w:autoSpaceDE w:val="0"/>
        <w:autoSpaceDN w:val="0"/>
        <w:adjustRightInd w:val="0"/>
        <w:spacing w:after="0" w:line="240" w:lineRule="auto"/>
      </w:pPr>
      <w:r>
        <w:t xml:space="preserve">Combined with the manufacturing trends we discussed earlier, then, it is difficult to avoid the conclusion that </w:t>
      </w:r>
      <w:r w:rsidR="00764CF4">
        <w:t xml:space="preserve">services will remain the main labor absorbing sector of the economy in developing countries. This poses a significant challenge for them. It is true that some countries, such as India and the Philippines, have been successful creating productive, indeed globally competitive, tradable service industries. But these are typically activities such as IT and BPO </w:t>
      </w:r>
      <w:r w:rsidR="00C17AA9">
        <w:t xml:space="preserve">(Business Process Off-shoring) </w:t>
      </w:r>
      <w:r w:rsidR="00764CF4">
        <w:t xml:space="preserve">which are skill-intensive. </w:t>
      </w:r>
      <w:r w:rsidR="00F643E4">
        <w:t xml:space="preserve">Such service sectors face the same disadvantage from the developmental standpoint as </w:t>
      </w:r>
      <w:r w:rsidR="009C15F0">
        <w:t>today’s GVC-oriented manufacturing</w:t>
      </w:r>
      <w:r w:rsidR="00F02FE6">
        <w:t xml:space="preserve"> firms</w:t>
      </w:r>
      <w:r w:rsidR="009C15F0">
        <w:t xml:space="preserve">. They have limited potential </w:t>
      </w:r>
      <w:r w:rsidR="00F02FE6">
        <w:t xml:space="preserve">to create large numbers of employment for the typically low-educated, low-skilled workforce of a developing economy. </w:t>
      </w:r>
    </w:p>
    <w:p w14:paraId="5CF22018" w14:textId="77777777" w:rsidR="009523D1" w:rsidRDefault="009523D1" w:rsidP="00D0783E">
      <w:pPr>
        <w:autoSpaceDE w:val="0"/>
        <w:autoSpaceDN w:val="0"/>
        <w:adjustRightInd w:val="0"/>
        <w:spacing w:after="0" w:line="240" w:lineRule="auto"/>
      </w:pPr>
    </w:p>
    <w:p w14:paraId="13B7C666" w14:textId="6953831C" w:rsidR="00903A5E" w:rsidRDefault="003C3E38" w:rsidP="00D0783E">
      <w:pPr>
        <w:autoSpaceDE w:val="0"/>
        <w:autoSpaceDN w:val="0"/>
        <w:adjustRightInd w:val="0"/>
        <w:spacing w:after="0" w:line="240" w:lineRule="auto"/>
      </w:pPr>
      <w:r>
        <w:t>T</w:t>
      </w:r>
      <w:r w:rsidR="006E70AB">
        <w:t>oday jobs are largely being created in a very different segment of the economy -- a hodge</w:t>
      </w:r>
      <w:r w:rsidR="00977431">
        <w:t>-</w:t>
      </w:r>
      <w:r w:rsidR="006E70AB">
        <w:t xml:space="preserve">podge of largely self-proprietorships or micro/small firms, typically non-tradable and often informal. The central question is: how can productivity </w:t>
      </w:r>
      <w:r w:rsidR="00FD1F55">
        <w:t xml:space="preserve">and demand </w:t>
      </w:r>
      <w:r w:rsidR="006E70AB">
        <w:t>be increased in these labor-absorbing service activities? We propose a</w:t>
      </w:r>
      <w:r w:rsidR="005B65A5">
        <w:t xml:space="preserve"> three</w:t>
      </w:r>
      <w:r w:rsidR="006E70AB">
        <w:t>-</w:t>
      </w:r>
      <w:r w:rsidR="005B65A5">
        <w:t>pronged strategy</w:t>
      </w:r>
      <w:r w:rsidR="006E70AB">
        <w:t xml:space="preserve"> for governments. First, </w:t>
      </w:r>
      <w:r w:rsidR="005B65A5">
        <w:t xml:space="preserve">encourage </w:t>
      </w:r>
      <w:r w:rsidR="009B42B5">
        <w:t xml:space="preserve">lower-skill </w:t>
      </w:r>
      <w:r w:rsidR="005B65A5">
        <w:t>job creation by the larger firms that operate in non-tradable services</w:t>
      </w:r>
      <w:r w:rsidR="006E70AB">
        <w:t xml:space="preserve">. Second, provide </w:t>
      </w:r>
      <w:r>
        <w:t xml:space="preserve">public inputs and </w:t>
      </w:r>
      <w:r w:rsidR="006E70AB">
        <w:t xml:space="preserve">access to </w:t>
      </w:r>
      <w:r w:rsidR="005B65A5">
        <w:t>productivity-enhancing investments</w:t>
      </w:r>
      <w:r>
        <w:t xml:space="preserve"> for smaller enterprises</w:t>
      </w:r>
      <w:r w:rsidR="006E70AB">
        <w:t xml:space="preserve">. Third, invest in technologies that complement rather than replace low-skill workers in service sectors. </w:t>
      </w:r>
    </w:p>
    <w:p w14:paraId="013FD1A6" w14:textId="77777777" w:rsidR="00903A5E" w:rsidRDefault="00903A5E" w:rsidP="00D0783E">
      <w:pPr>
        <w:autoSpaceDE w:val="0"/>
        <w:autoSpaceDN w:val="0"/>
        <w:adjustRightInd w:val="0"/>
        <w:spacing w:after="0" w:line="240" w:lineRule="auto"/>
      </w:pPr>
    </w:p>
    <w:p w14:paraId="1C8731E6" w14:textId="4139DA44" w:rsidR="006E70AB" w:rsidRDefault="006E70AB" w:rsidP="00D0783E">
      <w:pPr>
        <w:autoSpaceDE w:val="0"/>
        <w:autoSpaceDN w:val="0"/>
        <w:adjustRightInd w:val="0"/>
        <w:spacing w:after="0" w:line="240" w:lineRule="auto"/>
      </w:pPr>
      <w:r>
        <w:t>We recognize that the bulk of small, informal enterprises in developing countries</w:t>
      </w:r>
      <w:r w:rsidR="003C3E38">
        <w:t xml:space="preserve"> </w:t>
      </w:r>
      <w:r>
        <w:t>will never become very productive.</w:t>
      </w:r>
      <w:r w:rsidR="003C3E38">
        <w:t xml:space="preserve"> </w:t>
      </w:r>
      <w:r w:rsidR="00156602">
        <w:t>It would not be realistic to aim for productivity increases a</w:t>
      </w:r>
      <w:r w:rsidR="000F0DB3">
        <w:t>cross the board for all these firms. The best that can be hoped is that dualism can be reduced over time both by encouraging the expansion of existing formal firms, and by increasing productivity among some of the more dynamic smaller, informal firms</w:t>
      </w:r>
      <w:r w:rsidR="007908F8">
        <w:t>.</w:t>
      </w:r>
      <w:r w:rsidR="00156602">
        <w:t xml:space="preserve"> </w:t>
      </w:r>
      <w:r w:rsidR="007908F8">
        <w:t>Therefore, a</w:t>
      </w:r>
      <w:r w:rsidR="003C3E38">
        <w:t xml:space="preserve"> strategy targeting the domestic service sector must be necessarily selective. The general idea here is one of self-selection</w:t>
      </w:r>
      <w:r w:rsidR="006B3155">
        <w:t>. T</w:t>
      </w:r>
      <w:r w:rsidR="003C3E38">
        <w:t xml:space="preserve">he government would engage in a variety of </w:t>
      </w:r>
      <w:r w:rsidR="006B3155">
        <w:t xml:space="preserve">programs </w:t>
      </w:r>
      <w:r w:rsidR="003C3E38">
        <w:t>that have the potential of simultaneously increasing employment and productivity</w:t>
      </w:r>
      <w:r w:rsidR="006B3155">
        <w:t xml:space="preserve">. It would then </w:t>
      </w:r>
      <w:r w:rsidR="003C3E38">
        <w:t xml:space="preserve">let the more entrepreneurial </w:t>
      </w:r>
      <w:r w:rsidR="006B3155">
        <w:t xml:space="preserve">and dynamic </w:t>
      </w:r>
      <w:r w:rsidR="003C3E38">
        <w:t xml:space="preserve">among service-sector firms, including micro- and small enterprises, </w:t>
      </w:r>
      <w:r w:rsidR="006B3155">
        <w:t xml:space="preserve">to select into and </w:t>
      </w:r>
      <w:r w:rsidR="003C3E38">
        <w:t>take advantage of</w:t>
      </w:r>
      <w:r w:rsidR="006B3155">
        <w:t xml:space="preserve"> these programs. </w:t>
      </w:r>
    </w:p>
    <w:p w14:paraId="437FD311" w14:textId="77777777" w:rsidR="006E70AB" w:rsidRDefault="006E70AB" w:rsidP="00D0783E">
      <w:pPr>
        <w:autoSpaceDE w:val="0"/>
        <w:autoSpaceDN w:val="0"/>
        <w:adjustRightInd w:val="0"/>
        <w:spacing w:after="0" w:line="240" w:lineRule="auto"/>
      </w:pPr>
    </w:p>
    <w:p w14:paraId="6B58B2D7" w14:textId="01AA7113" w:rsidR="0003131B" w:rsidRDefault="000A7B58" w:rsidP="0003131B">
      <w:pPr>
        <w:autoSpaceDE w:val="0"/>
        <w:autoSpaceDN w:val="0"/>
        <w:adjustRightInd w:val="0"/>
        <w:spacing w:after="0" w:line="240" w:lineRule="auto"/>
      </w:pPr>
      <w:r>
        <w:t>We illustrate the three elements of the strategy with concrete cases. As an example of the first component, consider</w:t>
      </w:r>
      <w:r w:rsidR="0003131B">
        <w:t xml:space="preserve"> a partnership</w:t>
      </w:r>
      <w:r w:rsidR="00DC252B">
        <w:t xml:space="preserve"> that the state government of Haryana, India, est</w:t>
      </w:r>
      <w:r w:rsidR="0003131B" w:rsidRPr="0003131B">
        <w:t xml:space="preserve">ablished in 2018 </w:t>
      </w:r>
      <w:r w:rsidR="00DC252B">
        <w:t xml:space="preserve">with </w:t>
      </w:r>
      <w:r w:rsidR="0003131B" w:rsidRPr="0003131B">
        <w:t xml:space="preserve">the </w:t>
      </w:r>
      <w:r w:rsidR="00DC252B">
        <w:t xml:space="preserve">private </w:t>
      </w:r>
      <w:r w:rsidR="0003131B" w:rsidRPr="0003131B">
        <w:t>cab aggregators Ola and Uber.</w:t>
      </w:r>
      <w:r w:rsidR="00DC252B">
        <w:rPr>
          <w:rStyle w:val="FootnoteReference"/>
        </w:rPr>
        <w:footnoteReference w:id="22"/>
      </w:r>
      <w:r w:rsidR="0003131B" w:rsidRPr="0003131B">
        <w:t xml:space="preserve"> The partnership </w:t>
      </w:r>
      <w:r w:rsidR="00DC252B">
        <w:t xml:space="preserve">was motivated by the government’s objective to </w:t>
      </w:r>
      <w:r w:rsidR="0003131B" w:rsidRPr="0003131B">
        <w:t>increase employment for young people</w:t>
      </w:r>
      <w:r w:rsidR="00DC252B">
        <w:t xml:space="preserve">. The firms, for their part, sought drivers to expand operations. It was based on an explicit quid pro quo. The government helped the firms </w:t>
      </w:r>
      <w:r w:rsidR="0003131B" w:rsidRPr="0003131B">
        <w:t>identify and hire drivers</w:t>
      </w:r>
      <w:r w:rsidR="00DC252B">
        <w:t xml:space="preserve"> by changing some of the regulations </w:t>
      </w:r>
      <w:r w:rsidR="0003131B" w:rsidRPr="0003131B">
        <w:t>that hamper</w:t>
      </w:r>
      <w:r w:rsidR="00DC252B">
        <w:t>ed</w:t>
      </w:r>
      <w:r w:rsidR="0003131B" w:rsidRPr="0003131B">
        <w:t xml:space="preserve"> the expansion of ride-sharing services, shar</w:t>
      </w:r>
      <w:r w:rsidR="00DC252B">
        <w:t xml:space="preserve">ing with them </w:t>
      </w:r>
      <w:r w:rsidR="0003131B" w:rsidRPr="0003131B">
        <w:t>targeted databases of unemployed youth</w:t>
      </w:r>
      <w:r w:rsidR="00DC252B">
        <w:t xml:space="preserve"> in the state</w:t>
      </w:r>
      <w:r w:rsidR="0003131B" w:rsidRPr="0003131B">
        <w:t>, and h</w:t>
      </w:r>
      <w:r w:rsidR="00DC252B">
        <w:t xml:space="preserve">olding </w:t>
      </w:r>
      <w:r w:rsidR="0003131B" w:rsidRPr="0003131B">
        <w:t>exclusive job fairs for the companies. The firms in turn ma</w:t>
      </w:r>
      <w:r w:rsidR="00DC252B">
        <w:t>d</w:t>
      </w:r>
      <w:r w:rsidR="00FD1F55">
        <w:t>e</w:t>
      </w:r>
      <w:r w:rsidR="0003131B" w:rsidRPr="0003131B">
        <w:t xml:space="preserve"> </w:t>
      </w:r>
      <w:r w:rsidR="00DC252B">
        <w:t>“</w:t>
      </w:r>
      <w:r w:rsidR="0003131B" w:rsidRPr="0003131B">
        <w:t>soft</w:t>
      </w:r>
      <w:r w:rsidR="00DC252B">
        <w:t>”</w:t>
      </w:r>
      <w:r w:rsidR="0003131B" w:rsidRPr="0003131B">
        <w:t xml:space="preserve"> commitments </w:t>
      </w:r>
      <w:r w:rsidR="00DC252B">
        <w:t xml:space="preserve">to expand the </w:t>
      </w:r>
      <w:r w:rsidR="0003131B" w:rsidRPr="0003131B">
        <w:t>number of youth t</w:t>
      </w:r>
      <w:r w:rsidR="00DC252B">
        <w:t xml:space="preserve">hey </w:t>
      </w:r>
      <w:r w:rsidR="0003131B" w:rsidRPr="0003131B">
        <w:t xml:space="preserve">employed. </w:t>
      </w:r>
      <w:r w:rsidR="00DC252B">
        <w:t xml:space="preserve">It was understood that the promises, on each side, were not contractual obligations, but good-faith intentions subject to changing circumstances. They were meant to </w:t>
      </w:r>
      <w:r w:rsidR="0003131B" w:rsidRPr="0003131B">
        <w:t>enabl</w:t>
      </w:r>
      <w:r w:rsidR="00DC252B">
        <w:t xml:space="preserve">e the accumulation of </w:t>
      </w:r>
      <w:r w:rsidR="0003131B" w:rsidRPr="0003131B">
        <w:t>mutual trust</w:t>
      </w:r>
      <w:r w:rsidR="00C11883">
        <w:t xml:space="preserve"> over time</w:t>
      </w:r>
      <w:r w:rsidR="0003131B" w:rsidRPr="0003131B">
        <w:t xml:space="preserve">. In less than a year, the partnership </w:t>
      </w:r>
      <w:r w:rsidR="00C11883">
        <w:t xml:space="preserve">is said to have </w:t>
      </w:r>
      <w:r w:rsidR="0003131B" w:rsidRPr="0003131B">
        <w:t>created more than 44,000 new jobs for youth.</w:t>
      </w:r>
      <w:r w:rsidR="00C11883">
        <w:t xml:space="preserve"> </w:t>
      </w:r>
    </w:p>
    <w:p w14:paraId="65467BAF" w14:textId="77777777" w:rsidR="00C11883" w:rsidRPr="0003131B" w:rsidRDefault="00C11883" w:rsidP="0003131B">
      <w:pPr>
        <w:autoSpaceDE w:val="0"/>
        <w:autoSpaceDN w:val="0"/>
        <w:adjustRightInd w:val="0"/>
        <w:spacing w:after="0" w:line="240" w:lineRule="auto"/>
      </w:pPr>
    </w:p>
    <w:p w14:paraId="7BB79669" w14:textId="697DE2B6" w:rsidR="003D4953" w:rsidRDefault="00C11883" w:rsidP="005D5669">
      <w:pPr>
        <w:autoSpaceDE w:val="0"/>
        <w:autoSpaceDN w:val="0"/>
        <w:adjustRightInd w:val="0"/>
        <w:spacing w:after="0" w:line="240" w:lineRule="auto"/>
      </w:pPr>
      <w:r>
        <w:t>An example of the second type of program</w:t>
      </w:r>
      <w:r w:rsidR="00AE48E7">
        <w:t xml:space="preserve"> is provided</w:t>
      </w:r>
      <w:r w:rsidR="001B21D8">
        <w:t xml:space="preserve"> by a Colombian initiative</w:t>
      </w:r>
      <w:r w:rsidR="008D67E1">
        <w:t xml:space="preserve"> to reduce the time and financial costs of street fruit </w:t>
      </w:r>
      <w:r w:rsidR="005D5669">
        <w:t xml:space="preserve">and vegetable </w:t>
      </w:r>
      <w:r w:rsidR="008D67E1">
        <w:t>vendors in Bogota.</w:t>
      </w:r>
      <w:r w:rsidR="00FE123B">
        <w:rPr>
          <w:rStyle w:val="FootnoteReference"/>
        </w:rPr>
        <w:footnoteReference w:id="23"/>
      </w:r>
      <w:r w:rsidR="005D5669">
        <w:t xml:space="preserve"> Unlike large retail stores, these vendors have very inefficient “supply chains,” requiring them to spend inordinate amount of time looking for and buying the products they eventually sell. The typical vendor in Bogota gets up at 4:30 am and spends two hours in travel to purchase the produce from a central wholesaler. A social enterprise (</w:t>
      </w:r>
      <w:r w:rsidR="005D5669" w:rsidRPr="005D5669">
        <w:t>Agruppa</w:t>
      </w:r>
      <w:r w:rsidR="005D5669">
        <w:t xml:space="preserve">) came up with the idea that </w:t>
      </w:r>
      <w:r w:rsidR="003D4953">
        <w:t xml:space="preserve">it could </w:t>
      </w:r>
      <w:r w:rsidR="005D5669">
        <w:t>group</w:t>
      </w:r>
      <w:r w:rsidR="003D4953">
        <w:t xml:space="preserve"> and consolidate</w:t>
      </w:r>
      <w:r w:rsidR="005D5669">
        <w:t xml:space="preserve"> orders from the individual vendors</w:t>
      </w:r>
      <w:r w:rsidR="003D4953">
        <w:t xml:space="preserve">, </w:t>
      </w:r>
      <w:r w:rsidR="005D5669">
        <w:t>buy in bulk directly from the growers</w:t>
      </w:r>
      <w:r w:rsidR="003D4953">
        <w:t>, and deliver the fruits and vegetables directly to the stores of the vendors. This would not only reduce the costs of the vendors, but also reduce prices for the customers, often poor households themselves.</w:t>
      </w:r>
      <w:r w:rsidR="00C479EF">
        <w:t xml:space="preserve"> Using seed money from the World Bank, the initiative was launched with just a few products initially and then expanded. </w:t>
      </w:r>
      <w:r w:rsidR="009A430A">
        <w:t xml:space="preserve">A World Bank evaluation found that it held promise, though the experiment eventually folded </w:t>
      </w:r>
      <w:r w:rsidR="00C479EF">
        <w:t xml:space="preserve">due to Agruppa’s inability to scale it up </w:t>
      </w:r>
      <w:r w:rsidR="00A62336">
        <w:t>in time</w:t>
      </w:r>
      <w:r w:rsidR="009A430A">
        <w:t>.</w:t>
      </w:r>
      <w:r w:rsidR="00C479EF">
        <w:t xml:space="preserve"> </w:t>
      </w:r>
    </w:p>
    <w:p w14:paraId="26C292C2" w14:textId="77777777" w:rsidR="003D4953" w:rsidRDefault="003D4953" w:rsidP="005D5669">
      <w:pPr>
        <w:autoSpaceDE w:val="0"/>
        <w:autoSpaceDN w:val="0"/>
        <w:adjustRightInd w:val="0"/>
        <w:spacing w:after="0" w:line="240" w:lineRule="auto"/>
      </w:pPr>
    </w:p>
    <w:p w14:paraId="661BB35F" w14:textId="77777777" w:rsidR="00DF512E" w:rsidRDefault="008D67E1" w:rsidP="008D67E1">
      <w:pPr>
        <w:autoSpaceDE w:val="0"/>
        <w:autoSpaceDN w:val="0"/>
        <w:adjustRightInd w:val="0"/>
        <w:spacing w:after="0" w:line="240" w:lineRule="auto"/>
      </w:pPr>
      <w:r>
        <w:t xml:space="preserve">As both examples illustrate, local governments will be often better placed than national governments to create jobs-centered partnerships with </w:t>
      </w:r>
      <w:r w:rsidR="002C3B69">
        <w:t xml:space="preserve">entrepreneurs or firms providing </w:t>
      </w:r>
      <w:r>
        <w:t>service</w:t>
      </w:r>
      <w:r w:rsidR="002C3B69">
        <w:t>s</w:t>
      </w:r>
      <w:r>
        <w:t>. Given the multitude of service</w:t>
      </w:r>
      <w:r w:rsidR="002C3B69">
        <w:t xml:space="preserve"> activitie</w:t>
      </w:r>
      <w:r>
        <w:t xml:space="preserve">s, variation in local circumstances, and the heterogeneity in the size and shape of firms, local governments may </w:t>
      </w:r>
      <w:r w:rsidR="00DF512E">
        <w:t xml:space="preserve">also </w:t>
      </w:r>
      <w:r>
        <w:t xml:space="preserve">be better positioned to craft suitable arrangements. In either case, though, significant experimentation with different types of initiatives will be needed, given the dearth of successful precedents to emulate. Social enterprises have often taken the lead in the developing countries, as their approach is more conducive to experimentation. </w:t>
      </w:r>
    </w:p>
    <w:p w14:paraId="0E29E988" w14:textId="77777777" w:rsidR="00DF512E" w:rsidRDefault="00DF512E" w:rsidP="008D67E1">
      <w:pPr>
        <w:autoSpaceDE w:val="0"/>
        <w:autoSpaceDN w:val="0"/>
        <w:adjustRightInd w:val="0"/>
        <w:spacing w:after="0" w:line="240" w:lineRule="auto"/>
      </w:pPr>
    </w:p>
    <w:p w14:paraId="1B420B3A" w14:textId="25CC064C" w:rsidR="008D67E1" w:rsidRDefault="00DF512E" w:rsidP="008D67E1">
      <w:pPr>
        <w:autoSpaceDE w:val="0"/>
        <w:autoSpaceDN w:val="0"/>
        <w:adjustRightInd w:val="0"/>
        <w:spacing w:after="0" w:line="240" w:lineRule="auto"/>
      </w:pPr>
      <w:r>
        <w:t xml:space="preserve">There are some similarities between </w:t>
      </w:r>
      <w:r w:rsidR="00AA0361">
        <w:t xml:space="preserve">these programs and </w:t>
      </w:r>
      <w:r>
        <w:t>what was needed to bring advances in technology to farmers in the US in the nineteenth century:  both entail many small enterprises scattered over the entire country. The US Federal government created the agricultural extension service, to engage in experimentation at the local level and to bring knowledge to local farmers.</w:t>
      </w:r>
      <w:r w:rsidR="00AA0361">
        <w:t xml:space="preserve"> Similarly, g</w:t>
      </w:r>
      <w:r w:rsidR="008D67E1">
        <w:t>overnments</w:t>
      </w:r>
      <w:r w:rsidR="00AA0361">
        <w:t xml:space="preserve"> in developing countries</w:t>
      </w:r>
      <w:r w:rsidR="008D67E1">
        <w:t>, both local and national, will have to become more entrepreneurial and more engaged with experimentation as well</w:t>
      </w:r>
      <w:r w:rsidR="00D91339">
        <w:t>, and focus on bringing innovation insights to small enterprises,</w:t>
      </w:r>
      <w:r w:rsidR="008D67E1">
        <w:t xml:space="preserve"> if the strategy is to make a significant difference beyond individual initiatives.</w:t>
      </w:r>
      <w:r w:rsidR="00C479EF">
        <w:t xml:space="preserve"> </w:t>
      </w:r>
      <w:r w:rsidR="003D4953">
        <w:t xml:space="preserve"> </w:t>
      </w:r>
    </w:p>
    <w:p w14:paraId="4FB5711C" w14:textId="77777777" w:rsidR="008D67E1" w:rsidRDefault="008D67E1" w:rsidP="008D67E1">
      <w:pPr>
        <w:autoSpaceDE w:val="0"/>
        <w:autoSpaceDN w:val="0"/>
        <w:adjustRightInd w:val="0"/>
        <w:spacing w:after="0" w:line="240" w:lineRule="auto"/>
      </w:pPr>
    </w:p>
    <w:p w14:paraId="4D32BCEE" w14:textId="47241673" w:rsidR="00A86C3C" w:rsidRPr="00D91339" w:rsidRDefault="00B86C8A" w:rsidP="00FE4D8B">
      <w:pPr>
        <w:autoSpaceDE w:val="0"/>
        <w:autoSpaceDN w:val="0"/>
        <w:adjustRightInd w:val="0"/>
        <w:spacing w:after="0" w:line="240" w:lineRule="auto"/>
      </w:pPr>
      <w:r>
        <w:t>Finally, there is significant room to invest in and deploy new technologies that are especially friendly to labor</w:t>
      </w:r>
      <w:r w:rsidR="00332B53">
        <w:t xml:space="preserve"> employed in services</w:t>
      </w:r>
      <w:r>
        <w:t>. Automation and other innovations in manufacturing have been typically skill- and capital-biased, contributing to significant labor shedding in manufacturing globally. But the direction of technological change is not exogenous and pre-destined; it responds to economic incentives, government policies, and the prevailing social norms among the innovator community.</w:t>
      </w:r>
      <w:r w:rsidR="005F102C">
        <w:rPr>
          <w:rStyle w:val="FootnoteReference"/>
        </w:rPr>
        <w:footnoteReference w:id="24"/>
      </w:r>
      <w:r>
        <w:t xml:space="preserve"> </w:t>
      </w:r>
      <w:r w:rsidR="005F102C">
        <w:t xml:space="preserve">Explicit governmental efforts to stimulate the development of labor-friendly technologies can play an important role in services. There are already some prominent examples of how digital technologies and AI can empower lower-skilled workers to expand the range of tasks they can perform, taking over </w:t>
      </w:r>
      <w:r w:rsidR="00AF0A69">
        <w:t xml:space="preserve">some of the responsibilities of </w:t>
      </w:r>
      <w:r w:rsidR="005F102C">
        <w:t>more experienced and skilled professionals</w:t>
      </w:r>
      <w:r w:rsidR="00AF0A69">
        <w:t xml:space="preserve"> and becoming more productive in the process</w:t>
      </w:r>
      <w:r w:rsidR="005F102C">
        <w:t xml:space="preserve">. </w:t>
      </w:r>
      <w:r w:rsidR="00D91339">
        <w:t xml:space="preserve">AI cannot just </w:t>
      </w:r>
      <w:r w:rsidR="00D91339">
        <w:rPr>
          <w:i/>
          <w:iCs/>
        </w:rPr>
        <w:t xml:space="preserve">replace </w:t>
      </w:r>
      <w:r w:rsidR="00D91339">
        <w:t>labor; it can augment labor’s productivity, and thus even increase the demand for labor and wages.</w:t>
      </w:r>
      <w:r w:rsidR="00D91339">
        <w:rPr>
          <w:rStyle w:val="FootnoteReference"/>
        </w:rPr>
        <w:footnoteReference w:id="25"/>
      </w:r>
    </w:p>
    <w:p w14:paraId="0692B8E5" w14:textId="77777777" w:rsidR="00A86C3C" w:rsidRDefault="00A86C3C" w:rsidP="00FE4D8B">
      <w:pPr>
        <w:autoSpaceDE w:val="0"/>
        <w:autoSpaceDN w:val="0"/>
        <w:adjustRightInd w:val="0"/>
        <w:spacing w:after="0" w:line="240" w:lineRule="auto"/>
      </w:pPr>
    </w:p>
    <w:p w14:paraId="077419AB" w14:textId="0398F067" w:rsidR="00B86C8A" w:rsidRDefault="005F102C" w:rsidP="00FE4D8B">
      <w:pPr>
        <w:autoSpaceDE w:val="0"/>
        <w:autoSpaceDN w:val="0"/>
        <w:adjustRightInd w:val="0"/>
        <w:spacing w:after="0" w:line="240" w:lineRule="auto"/>
      </w:pPr>
      <w:r>
        <w:t xml:space="preserve">In medicine and long-term care, digital tools enable the least-skilled caregivers to provide more advanced services to their patients. </w:t>
      </w:r>
      <w:r w:rsidR="00FE4D8B">
        <w:t>Specially designed software assist</w:t>
      </w:r>
      <w:r w:rsidR="00A86C3C">
        <w:t>s</w:t>
      </w:r>
      <w:r w:rsidR="00FE4D8B">
        <w:t xml:space="preserve"> community health workers in India to serve their clients better by conducting timely visits and providing access to health and learning resources online</w:t>
      </w:r>
      <w:r w:rsidR="00A86C3C">
        <w:t xml:space="preserve"> in real time</w:t>
      </w:r>
      <w:r w:rsidR="00FE4D8B">
        <w:t xml:space="preserve">. </w:t>
      </w:r>
      <w:r w:rsidR="00A86C3C">
        <w:t xml:space="preserve">In </w:t>
      </w:r>
      <w:r>
        <w:t xml:space="preserve">education, </w:t>
      </w:r>
      <w:r w:rsidR="00A86C3C">
        <w:t>similar digital tools</w:t>
      </w:r>
      <w:r>
        <w:t xml:space="preserve"> can enable less experienced teachers </w:t>
      </w:r>
      <w:r w:rsidR="00AF0A69">
        <w:t xml:space="preserve">to engage in pedagogy </w:t>
      </w:r>
      <w:r>
        <w:t xml:space="preserve">that </w:t>
      </w:r>
      <w:r w:rsidR="00AF0A69">
        <w:t xml:space="preserve">is </w:t>
      </w:r>
      <w:r>
        <w:t>more closely tailored to the needs of different groups of students. In retail, they</w:t>
      </w:r>
      <w:r w:rsidR="00AF0A69">
        <w:t xml:space="preserve"> allow workers to provide more detailed and specialized help to customers. In call services, conversational assistance </w:t>
      </w:r>
      <w:r w:rsidR="00FE4D8B">
        <w:t xml:space="preserve">by </w:t>
      </w:r>
      <w:r w:rsidR="00AF0A69">
        <w:t>generative AI has been</w:t>
      </w:r>
      <w:r>
        <w:t xml:space="preserve"> </w:t>
      </w:r>
      <w:r w:rsidR="00AF0A69">
        <w:t xml:space="preserve">shown to significantly increase productivity of the least experienced </w:t>
      </w:r>
      <w:r w:rsidR="00FE4D8B">
        <w:t xml:space="preserve">customer support </w:t>
      </w:r>
      <w:r w:rsidR="00AF0A69">
        <w:t>employees.</w:t>
      </w:r>
      <w:r w:rsidR="00AF0A69">
        <w:rPr>
          <w:rStyle w:val="FootnoteReference"/>
        </w:rPr>
        <w:footnoteReference w:id="26"/>
      </w:r>
      <w:r w:rsidR="00AF0A69">
        <w:t xml:space="preserve"> </w:t>
      </w:r>
      <w:r>
        <w:t xml:space="preserve">  </w:t>
      </w:r>
    </w:p>
    <w:p w14:paraId="10AA4CE9" w14:textId="77777777" w:rsidR="00FE4D8B" w:rsidRDefault="00FE4D8B" w:rsidP="00D0783E">
      <w:pPr>
        <w:autoSpaceDE w:val="0"/>
        <w:autoSpaceDN w:val="0"/>
        <w:adjustRightInd w:val="0"/>
        <w:spacing w:after="0" w:line="240" w:lineRule="auto"/>
      </w:pPr>
    </w:p>
    <w:p w14:paraId="097F5D64" w14:textId="3EF9AC04" w:rsidR="00DD5A2D" w:rsidRDefault="00FE4D8B" w:rsidP="00D0783E">
      <w:pPr>
        <w:autoSpaceDE w:val="0"/>
        <w:autoSpaceDN w:val="0"/>
        <w:adjustRightInd w:val="0"/>
        <w:spacing w:after="0" w:line="240" w:lineRule="auto"/>
      </w:pPr>
      <w:r>
        <w:t xml:space="preserve">Since such technologies already exist, developing country governments could facilitate their dissemination and use among their domestic firms. But it is also the case that the examples cited above barely scratch the surface of what could be a more fundamental transformation in how we regard technological change and its direction. Today it is widely recognized that governments have a critical role in fostering green technologies. Given the importance of </w:t>
      </w:r>
      <w:r w:rsidR="005C68AF">
        <w:t xml:space="preserve">promoting </w:t>
      </w:r>
      <w:r>
        <w:t>good jobs, it could be argued that they have an equally critical role in promoting labor-friendly technologies.</w:t>
      </w:r>
      <w:r w:rsidR="00DD5A2D">
        <w:rPr>
          <w:rStyle w:val="FootnoteReference"/>
        </w:rPr>
        <w:footnoteReference w:id="27"/>
      </w:r>
      <w:r>
        <w:t xml:space="preserve"> </w:t>
      </w:r>
      <w:r w:rsidR="005C68AF">
        <w:t xml:space="preserve">Since the bulk of innovation takes place in advanced economies, this is another area where rich nations could play a significant role in facilitating economic development. </w:t>
      </w:r>
      <w:r w:rsidR="00AA0361">
        <w:t>I</w:t>
      </w:r>
      <w:r w:rsidR="005C68AF">
        <w:t>nsofar as rebuilding the middle class and overcoming labor-market polarization is a priority for them as well, investing in labor-friendly technologies is a task that serves their own immediate interests as well.</w:t>
      </w:r>
      <w:r w:rsidR="00AA0361">
        <w:t xml:space="preserve"> </w:t>
      </w:r>
      <w:r w:rsidR="00DD5A2D">
        <w:t>Still, the technologies that are appropriate for advanced countries may (and almost surely will) differ from those that are best for developing countries</w:t>
      </w:r>
      <w:r w:rsidR="00AA0361">
        <w:t>. Th</w:t>
      </w:r>
      <w:r w:rsidR="00DD5A2D">
        <w:t xml:space="preserve">ere is scope for an international effort to develop such technologies: </w:t>
      </w:r>
      <w:r w:rsidR="00AA0361">
        <w:t xml:space="preserve">Just like green innovation, labor-friendly innovation </w:t>
      </w:r>
      <w:r w:rsidR="00DD5A2D">
        <w:t xml:space="preserve">is a global public good.  </w:t>
      </w:r>
    </w:p>
    <w:p w14:paraId="1FB994F7" w14:textId="77777777" w:rsidR="005C68AF" w:rsidRDefault="005C68AF" w:rsidP="00D0783E">
      <w:pPr>
        <w:autoSpaceDE w:val="0"/>
        <w:autoSpaceDN w:val="0"/>
        <w:adjustRightInd w:val="0"/>
        <w:spacing w:after="0" w:line="240" w:lineRule="auto"/>
      </w:pPr>
    </w:p>
    <w:p w14:paraId="0F813600" w14:textId="2F129D99" w:rsidR="00FE4D8B" w:rsidRDefault="00B86BAD" w:rsidP="00D0783E">
      <w:pPr>
        <w:autoSpaceDE w:val="0"/>
        <w:autoSpaceDN w:val="0"/>
        <w:adjustRightInd w:val="0"/>
        <w:spacing w:after="0" w:line="240" w:lineRule="auto"/>
      </w:pPr>
      <w:r>
        <w:t>Beyond the advanced economies, many middle-income countries such as Brazil, India, South Africa, or Turkey are today also becoming centers of innovation. There is some evidence that technologies and organizational forms that are more suited to developing-country context disseminate more rapidly among developing nations.</w:t>
      </w:r>
      <w:r>
        <w:rPr>
          <w:rStyle w:val="FootnoteReference"/>
        </w:rPr>
        <w:footnoteReference w:id="28"/>
      </w:r>
      <w:r>
        <w:t xml:space="preserve"> </w:t>
      </w:r>
      <w:r w:rsidR="00332B53">
        <w:t xml:space="preserve">Hence these larger economies among the developing world </w:t>
      </w:r>
      <w:r w:rsidR="000A38E9">
        <w:t xml:space="preserve">face significant opportunities but </w:t>
      </w:r>
      <w:r w:rsidR="00332B53">
        <w:t xml:space="preserve">also bear significant responsibility in this area. </w:t>
      </w:r>
      <w:r>
        <w:t xml:space="preserve"> </w:t>
      </w:r>
    </w:p>
    <w:p w14:paraId="3E7C6502" w14:textId="77777777" w:rsidR="005425DF" w:rsidRDefault="005425DF" w:rsidP="00D0783E">
      <w:pPr>
        <w:autoSpaceDE w:val="0"/>
        <w:autoSpaceDN w:val="0"/>
        <w:adjustRightInd w:val="0"/>
        <w:spacing w:after="0" w:line="240" w:lineRule="auto"/>
      </w:pPr>
    </w:p>
    <w:p w14:paraId="6582AC95" w14:textId="437F2057" w:rsidR="00B128F4" w:rsidRDefault="005425DF" w:rsidP="00D0783E">
      <w:pPr>
        <w:autoSpaceDE w:val="0"/>
        <w:autoSpaceDN w:val="0"/>
        <w:adjustRightInd w:val="0"/>
        <w:spacing w:after="0" w:line="240" w:lineRule="auto"/>
      </w:pPr>
      <w:r>
        <w:t xml:space="preserve">Even in the best-case scenario, a services-based model is unlikely to deliver growth rates approaching those experienced in East Asia. </w:t>
      </w:r>
      <w:r w:rsidR="008918E4">
        <w:t>For one thing, increasing</w:t>
      </w:r>
      <w:r w:rsidR="00B128F4">
        <w:t xml:space="preserve"> productivity in </w:t>
      </w:r>
      <w:r w:rsidR="008918E4">
        <w:t xml:space="preserve">labor-absorbing </w:t>
      </w:r>
      <w:r w:rsidR="00B128F4">
        <w:t>services is likely to prove more difficult than</w:t>
      </w:r>
      <w:r w:rsidR="008918E4">
        <w:t xml:space="preserve"> in manufacturing, even if the strategies outlined previously prove successful</w:t>
      </w:r>
      <w:r w:rsidR="00A15C66">
        <w:t xml:space="preserve"> and even if there remains a significant gap in productivity in the services sector between developed and developing country</w:t>
      </w:r>
      <w:r w:rsidR="008918E4">
        <w:t xml:space="preserve">. </w:t>
      </w:r>
      <w:r w:rsidR="009A430A">
        <w:t>This is because manufacturing technologies are more standardized and have proved easier to copy despite large differences in the context of developing countries.</w:t>
      </w:r>
      <w:r w:rsidR="009A430A">
        <w:rPr>
          <w:rStyle w:val="FootnoteReference"/>
        </w:rPr>
        <w:footnoteReference w:id="29"/>
      </w:r>
      <w:r w:rsidR="009A430A">
        <w:t xml:space="preserve"> </w:t>
      </w:r>
      <w:r w:rsidR="008918E4">
        <w:t>But there is another general-equilibrium reason as well.</w:t>
      </w:r>
      <w:r w:rsidR="00B128F4">
        <w:t xml:space="preserve"> Under manufacturing-led growth strategies, a succession of export-oriented sectors – wigs, toys, garments, autos, steel – could take off one after the other without regard to domestic demand.  By contrast, </w:t>
      </w:r>
      <w:r>
        <w:t xml:space="preserve">the expansion of non-tradable services – those that are most likely to absorb employment -- is ultimately limited by the size of the home market. Individual service sectors cannot </w:t>
      </w:r>
      <w:r w:rsidR="00B128F4">
        <w:t xml:space="preserve">keep growing </w:t>
      </w:r>
      <w:r>
        <w:t xml:space="preserve">if other service sectors are not also </w:t>
      </w:r>
      <w:r w:rsidR="00B128F4">
        <w:t xml:space="preserve">expanding and </w:t>
      </w:r>
      <w:r>
        <w:t xml:space="preserve">increasing their productivity; the growth of retail, say, depends on the growth of personal services, hospitality, and the rest of the economy. </w:t>
      </w:r>
      <w:r w:rsidR="00B128F4">
        <w:t>Otherwise, the profitability of the more rapidly expanding services would soon collapse. This complementarity on the demand side necessitates balanced growth and lowers the ceiling on the potential growth rate of the economy.</w:t>
      </w:r>
      <w:r w:rsidR="00472F09">
        <w:rPr>
          <w:rStyle w:val="FootnoteReference"/>
        </w:rPr>
        <w:footnoteReference w:id="30"/>
      </w:r>
      <w:r w:rsidR="00B128F4">
        <w:t xml:space="preserve"> </w:t>
      </w:r>
    </w:p>
    <w:p w14:paraId="35AE820B" w14:textId="77777777" w:rsidR="00B128F4" w:rsidRDefault="00B128F4" w:rsidP="00D0783E">
      <w:pPr>
        <w:autoSpaceDE w:val="0"/>
        <w:autoSpaceDN w:val="0"/>
        <w:adjustRightInd w:val="0"/>
        <w:spacing w:after="0" w:line="240" w:lineRule="auto"/>
      </w:pPr>
    </w:p>
    <w:p w14:paraId="754F8FD2" w14:textId="47BBDCA1" w:rsidR="00B74D4F" w:rsidRDefault="00B74D4F" w:rsidP="00D0783E">
      <w:pPr>
        <w:autoSpaceDE w:val="0"/>
        <w:autoSpaceDN w:val="0"/>
        <w:adjustRightInd w:val="0"/>
        <w:spacing w:after="0" w:line="240" w:lineRule="auto"/>
      </w:pPr>
      <w:r>
        <w:t xml:space="preserve">The silver lining of </w:t>
      </w:r>
      <w:r w:rsidR="00472F09">
        <w:t xml:space="preserve">the kind of </w:t>
      </w:r>
      <w:r>
        <w:t>growth strategy</w:t>
      </w:r>
      <w:r w:rsidR="00472F09">
        <w:t xml:space="preserve"> we’ve described</w:t>
      </w:r>
      <w:r>
        <w:t xml:space="preserve"> is that it is more inclusive and equitable. It delivers direct income gains for poorer segments of society through better jobs and builds a middle class, rather than wait</w:t>
      </w:r>
      <w:r w:rsidR="009161EC">
        <w:t>ing</w:t>
      </w:r>
      <w:r>
        <w:t xml:space="preserve"> for trickle-down from the export champions and largest firms.</w:t>
      </w:r>
      <w:r w:rsidR="009161EC">
        <w:t xml:space="preserve"> The quality of growth is higher, even if its quantity is lower. </w:t>
      </w:r>
      <w:r>
        <w:t xml:space="preserve">  </w:t>
      </w:r>
    </w:p>
    <w:p w14:paraId="6BEF7111" w14:textId="77777777" w:rsidR="00B74D4F" w:rsidRDefault="00B74D4F" w:rsidP="00D0783E">
      <w:pPr>
        <w:autoSpaceDE w:val="0"/>
        <w:autoSpaceDN w:val="0"/>
        <w:adjustRightInd w:val="0"/>
        <w:spacing w:after="0" w:line="240" w:lineRule="auto"/>
      </w:pPr>
    </w:p>
    <w:p w14:paraId="3866BD67" w14:textId="28A9FE83" w:rsidR="009523D1" w:rsidRDefault="009523D1" w:rsidP="00D0783E">
      <w:pPr>
        <w:autoSpaceDE w:val="0"/>
        <w:autoSpaceDN w:val="0"/>
        <w:adjustRightInd w:val="0"/>
        <w:spacing w:after="0" w:line="240" w:lineRule="auto"/>
        <w:rPr>
          <w:u w:val="single"/>
        </w:rPr>
      </w:pPr>
      <w:r w:rsidRPr="009523D1">
        <w:rPr>
          <w:u w:val="single"/>
        </w:rPr>
        <w:t xml:space="preserve">New industrial policies for </w:t>
      </w:r>
      <w:r w:rsidR="004A2EEB">
        <w:rPr>
          <w:u w:val="single"/>
        </w:rPr>
        <w:t xml:space="preserve">the </w:t>
      </w:r>
      <w:r w:rsidRPr="009523D1">
        <w:rPr>
          <w:u w:val="single"/>
        </w:rPr>
        <w:t xml:space="preserve">green transition and </w:t>
      </w:r>
      <w:r w:rsidR="004A2EEB">
        <w:rPr>
          <w:u w:val="single"/>
        </w:rPr>
        <w:t xml:space="preserve">for labor-absorbing </w:t>
      </w:r>
      <w:r w:rsidRPr="009523D1">
        <w:rPr>
          <w:u w:val="single"/>
        </w:rPr>
        <w:t>services</w:t>
      </w:r>
    </w:p>
    <w:p w14:paraId="32A9E4EA" w14:textId="77777777" w:rsidR="001B21D8" w:rsidRDefault="001B21D8" w:rsidP="00D0783E">
      <w:pPr>
        <w:autoSpaceDE w:val="0"/>
        <w:autoSpaceDN w:val="0"/>
        <w:adjustRightInd w:val="0"/>
        <w:spacing w:after="0" w:line="240" w:lineRule="auto"/>
        <w:rPr>
          <w:u w:val="single"/>
        </w:rPr>
      </w:pPr>
    </w:p>
    <w:p w14:paraId="1EEE1DF3" w14:textId="0E943EFD" w:rsidR="00257AC7" w:rsidRDefault="00257AC7" w:rsidP="00D0783E">
      <w:pPr>
        <w:autoSpaceDE w:val="0"/>
        <w:autoSpaceDN w:val="0"/>
        <w:adjustRightInd w:val="0"/>
        <w:spacing w:after="0" w:line="240" w:lineRule="auto"/>
      </w:pPr>
      <w:r>
        <w:t xml:space="preserve">Governments have a big role to play in the strategy we have outlined, both for </w:t>
      </w:r>
      <w:r w:rsidR="00E76770" w:rsidRPr="001B21D8">
        <w:t xml:space="preserve">investments </w:t>
      </w:r>
      <w:r w:rsidR="00E76770">
        <w:t xml:space="preserve">in the </w:t>
      </w:r>
      <w:r w:rsidR="001B21D8" w:rsidRPr="001B21D8">
        <w:t xml:space="preserve">green transition </w:t>
      </w:r>
      <w:r>
        <w:t>and</w:t>
      </w:r>
      <w:r w:rsidR="001B21D8" w:rsidRPr="001B21D8">
        <w:t xml:space="preserve"> </w:t>
      </w:r>
      <w:r>
        <w:t xml:space="preserve">for </w:t>
      </w:r>
      <w:r w:rsidR="001B21D8" w:rsidRPr="001B21D8">
        <w:t>good-jobs programs in services</w:t>
      </w:r>
      <w:r>
        <w:t xml:space="preserve">. Markets left to their own devices do not foster the kind of structural changes needed on either front. </w:t>
      </w:r>
      <w:r w:rsidR="009161EC">
        <w:t>In general, s</w:t>
      </w:r>
      <w:r w:rsidR="007D54A3">
        <w:t>tructural transformation is impeded by credit</w:t>
      </w:r>
      <w:r w:rsidR="00472F09">
        <w:t xml:space="preserve"> and risk</w:t>
      </w:r>
      <w:r w:rsidR="007D54A3">
        <w:t xml:space="preserve"> market failures, coordination failures, externalities, and learning spillovers</w:t>
      </w:r>
      <w:r w:rsidR="009161EC">
        <w:t>. That is why the most rapidly growing economies of the past all relied heavily on industrial policies promoting productive diversification</w:t>
      </w:r>
      <w:r w:rsidR="001660EA">
        <w:t xml:space="preserve"> and the growth of new industries</w:t>
      </w:r>
      <w:r w:rsidR="009161EC">
        <w:t xml:space="preserve">. </w:t>
      </w:r>
      <w:r w:rsidR="001660EA">
        <w:t xml:space="preserve">Such </w:t>
      </w:r>
      <w:r w:rsidR="007D54A3">
        <w:t xml:space="preserve">barriers are, if anything, even greater in the transition to green industries and productive, labor-absorbing services. </w:t>
      </w:r>
      <w:r w:rsidR="004A2EEB">
        <w:t>Hence p</w:t>
      </w:r>
      <w:r>
        <w:t xml:space="preserve">rivate markets and entrepreneurship will need to be augmented by a public vision and a supporting set of public incentives, inputs, and services. </w:t>
      </w:r>
    </w:p>
    <w:p w14:paraId="020E2589" w14:textId="77777777" w:rsidR="00257AC7" w:rsidRDefault="00257AC7" w:rsidP="00D0783E">
      <w:pPr>
        <w:autoSpaceDE w:val="0"/>
        <w:autoSpaceDN w:val="0"/>
        <w:adjustRightInd w:val="0"/>
        <w:spacing w:after="0" w:line="240" w:lineRule="auto"/>
      </w:pPr>
    </w:p>
    <w:p w14:paraId="04BDE08A" w14:textId="31F1650C" w:rsidR="00B02491" w:rsidRDefault="00151BA4" w:rsidP="00D0783E">
      <w:pPr>
        <w:autoSpaceDE w:val="0"/>
        <w:autoSpaceDN w:val="0"/>
        <w:adjustRightInd w:val="0"/>
        <w:spacing w:after="0" w:line="240" w:lineRule="auto"/>
      </w:pPr>
      <w:r>
        <w:t xml:space="preserve">In theory, market failures that impede dynamic efficiency </w:t>
      </w:r>
      <w:r w:rsidR="00036078">
        <w:t xml:space="preserve">can sometimes be </w:t>
      </w:r>
      <w:r>
        <w:t xml:space="preserve">addressed through targeted tax-subsidy schemes that result in private agents internalizing the full social consequences of their actions. Learning spillovers and climate-change externalities, for example, should be corrected through </w:t>
      </w:r>
      <w:r w:rsidR="00036078">
        <w:t>Pigouvian</w:t>
      </w:r>
      <w:r w:rsidR="004A2EEB">
        <w:t xml:space="preserve"> subsidies and</w:t>
      </w:r>
      <w:r>
        <w:t xml:space="preserve"> taxes, respectively. The </w:t>
      </w:r>
      <w:r w:rsidR="00546D03">
        <w:t xml:space="preserve">magnitude </w:t>
      </w:r>
      <w:r>
        <w:t>of these interventions should equal the difference between private and social costs/benefits</w:t>
      </w:r>
      <w:r w:rsidR="00546D03">
        <w:t xml:space="preserve"> (at the margin)</w:t>
      </w:r>
      <w:r>
        <w:t>, subject to second-best considerations (such as the deadweight loss of raising taxes) which may call for smaller interventions.</w:t>
      </w:r>
      <w:r w:rsidR="0060436E">
        <w:rPr>
          <w:rStyle w:val="FootnoteReference"/>
        </w:rPr>
        <w:footnoteReference w:id="31"/>
      </w:r>
      <w:r w:rsidR="00036078">
        <w:t xml:space="preserve">  </w:t>
      </w:r>
      <w:r w:rsidR="00186655">
        <w:t xml:space="preserve">  </w:t>
      </w:r>
      <w:r>
        <w:t xml:space="preserve"> </w:t>
      </w:r>
    </w:p>
    <w:p w14:paraId="71CBF317" w14:textId="77777777" w:rsidR="00B02491" w:rsidRDefault="00B02491" w:rsidP="00D0783E">
      <w:pPr>
        <w:autoSpaceDE w:val="0"/>
        <w:autoSpaceDN w:val="0"/>
        <w:adjustRightInd w:val="0"/>
        <w:spacing w:after="0" w:line="240" w:lineRule="auto"/>
      </w:pPr>
    </w:p>
    <w:p w14:paraId="5C1543F4" w14:textId="12B7D8DF" w:rsidR="00C509CD" w:rsidRDefault="00F12C59" w:rsidP="00D0783E">
      <w:pPr>
        <w:autoSpaceDE w:val="0"/>
        <w:autoSpaceDN w:val="0"/>
        <w:adjustRightInd w:val="0"/>
        <w:spacing w:after="0" w:line="240" w:lineRule="auto"/>
      </w:pPr>
      <w:r>
        <w:t>In practice, governments face uncertainty</w:t>
      </w:r>
      <w:r w:rsidR="00186655">
        <w:t xml:space="preserve"> on multiple dimensions, </w:t>
      </w:r>
      <w:r>
        <w:t>undermin</w:t>
      </w:r>
      <w:r w:rsidR="00186655">
        <w:t xml:space="preserve">ing the practical applicability of </w:t>
      </w:r>
      <w:r>
        <w:t>th</w:t>
      </w:r>
      <w:r w:rsidR="00186655">
        <w:t xml:space="preserve">e standard </w:t>
      </w:r>
      <w:r>
        <w:t>recipe.</w:t>
      </w:r>
      <w:r w:rsidR="004204B3">
        <w:rPr>
          <w:rStyle w:val="FootnoteReference"/>
        </w:rPr>
        <w:footnoteReference w:id="32"/>
      </w:r>
      <w:r w:rsidR="00B02491">
        <w:t xml:space="preserve"> </w:t>
      </w:r>
      <w:r w:rsidR="00B77B6F">
        <w:t>P</w:t>
      </w:r>
      <w:r w:rsidR="0060436E">
        <w:t xml:space="preserve">roblems associated with imperfections of credit markets and the absence of insurance markets are not so easily handled by the standard Pigouvian approach.  </w:t>
      </w:r>
      <w:r w:rsidR="00B02491">
        <w:t>The specific sources of market failures, their respective magnitudes, the behavioral responses of firms, investors, innovators, and consumers, the range of possible technological trajectories, and the efficacy of different types of policies</w:t>
      </w:r>
      <w:r w:rsidR="0060436E">
        <w:t xml:space="preserve"> can vary from circumstance to circumstance</w:t>
      </w:r>
      <w:r w:rsidR="00B02491">
        <w:t xml:space="preserve">. In </w:t>
      </w:r>
      <w:r w:rsidR="00186655">
        <w:t xml:space="preserve">such contexts, learning and capacity-building by </w:t>
      </w:r>
      <w:r w:rsidR="00B02491">
        <w:t xml:space="preserve">the </w:t>
      </w:r>
      <w:r w:rsidR="00186655">
        <w:t>government ha</w:t>
      </w:r>
      <w:r w:rsidR="004204B3">
        <w:t>ve</w:t>
      </w:r>
      <w:r w:rsidR="00186655">
        <w:t xml:space="preserve"> to be built </w:t>
      </w:r>
      <w:r w:rsidR="00A312B1">
        <w:t>into</w:t>
      </w:r>
      <w:r w:rsidR="00186655">
        <w:t xml:space="preserve"> policy design, rather than assumed.</w:t>
      </w:r>
      <w:r w:rsidR="004204B3">
        <w:t xml:space="preserve"> And the relationship between the government and firms has to be conceptualized as an inherently dynamic one.</w:t>
      </w:r>
      <w:r w:rsidR="00C509CD">
        <w:t xml:space="preserve"> </w:t>
      </w:r>
      <w:r w:rsidR="00AD5840">
        <w:t>Even though East Asian industrial policies are often portrayed as top-down policies implemented by autonomous, well-informed government</w:t>
      </w:r>
      <w:r w:rsidR="00151BA4">
        <w:t>s</w:t>
      </w:r>
      <w:r w:rsidR="00AD5840">
        <w:t xml:space="preserve">, the reality was quite different. Many of these governments started with little experience </w:t>
      </w:r>
      <w:r w:rsidR="00601D83">
        <w:t xml:space="preserve">with </w:t>
      </w:r>
      <w:r w:rsidR="00AD5840">
        <w:t xml:space="preserve">and capacity to conduct </w:t>
      </w:r>
      <w:r w:rsidR="00601D83">
        <w:t xml:space="preserve">extensive industrial policies. </w:t>
      </w:r>
      <w:r w:rsidR="001F4A37">
        <w:t xml:space="preserve">The requisite governmental capacity was not a precondition for their policies, but built over time. </w:t>
      </w:r>
      <w:r w:rsidR="00C509CD">
        <w:t>Successful industrial policies entail learning by society at large.</w:t>
      </w:r>
      <w:r w:rsidR="00C509CD">
        <w:rPr>
          <w:rStyle w:val="FootnoteReference"/>
        </w:rPr>
        <w:footnoteReference w:id="33"/>
      </w:r>
    </w:p>
    <w:p w14:paraId="51B77229" w14:textId="77777777" w:rsidR="00C509CD" w:rsidRDefault="00C509CD" w:rsidP="00D0783E">
      <w:pPr>
        <w:autoSpaceDE w:val="0"/>
        <w:autoSpaceDN w:val="0"/>
        <w:adjustRightInd w:val="0"/>
        <w:spacing w:after="0" w:line="240" w:lineRule="auto"/>
      </w:pPr>
    </w:p>
    <w:p w14:paraId="1347A2CE" w14:textId="2CD476D7" w:rsidR="00AD5840" w:rsidRDefault="00C509CD" w:rsidP="00D0783E">
      <w:pPr>
        <w:autoSpaceDE w:val="0"/>
        <w:autoSpaceDN w:val="0"/>
        <w:adjustRightInd w:val="0"/>
        <w:spacing w:after="0" w:line="240" w:lineRule="auto"/>
      </w:pPr>
      <w:r>
        <w:t xml:space="preserve">The practice of industrial policy </w:t>
      </w:r>
      <w:r w:rsidR="001F4A37">
        <w:t>has</w:t>
      </w:r>
      <w:r w:rsidR="00C24DE2">
        <w:t xml:space="preserve"> five key</w:t>
      </w:r>
      <w:r w:rsidR="001F4A37">
        <w:t xml:space="preserve"> </w:t>
      </w:r>
      <w:r>
        <w:t xml:space="preserve">inter-connected </w:t>
      </w:r>
      <w:r w:rsidR="001F4A37">
        <w:t>elements: embeddedness, coordination, monitoring</w:t>
      </w:r>
      <w:r w:rsidR="00C24DE2">
        <w:t xml:space="preserve">, </w:t>
      </w:r>
      <w:r w:rsidR="00E737B2">
        <w:t xml:space="preserve">conditionality, </w:t>
      </w:r>
      <w:r w:rsidR="00C24DE2">
        <w:t>and institutional development</w:t>
      </w:r>
      <w:r w:rsidR="001F4A37">
        <w:t>.</w:t>
      </w:r>
      <w:r>
        <w:t xml:space="preserve"> The first of these refers to </w:t>
      </w:r>
      <w:r w:rsidR="001531AE">
        <w:t xml:space="preserve">the establishment of </w:t>
      </w:r>
      <w:r w:rsidR="001F4A37">
        <w:t>a strategic dialog and collaboration with firms to elucidate the information on obstacles and opportunities for productive investments</w:t>
      </w:r>
      <w:r w:rsidR="00C24DE2">
        <w:t>, including market failures</w:t>
      </w:r>
      <w:r w:rsidR="001F4A37">
        <w:t xml:space="preserve">. </w:t>
      </w:r>
      <w:r w:rsidR="00601D83">
        <w:t xml:space="preserve">As the sociologist Peter Evans has discussed, </w:t>
      </w:r>
      <w:r w:rsidR="00B77B6F">
        <w:t>in successful cases</w:t>
      </w:r>
      <w:r w:rsidR="00A312B1">
        <w:t>,</w:t>
      </w:r>
      <w:r w:rsidR="00B77B6F">
        <w:t xml:space="preserve"> </w:t>
      </w:r>
      <w:r w:rsidR="00E737B2">
        <w:t xml:space="preserve">states’ </w:t>
      </w:r>
      <w:r w:rsidR="00601D83">
        <w:t>relative autonomy from private firms (and hence ability to prevent regulatory capture) was combined with</w:t>
      </w:r>
      <w:r w:rsidR="00661CDB">
        <w:t xml:space="preserve"> </w:t>
      </w:r>
      <w:r w:rsidR="00601D83">
        <w:t>embeddedness</w:t>
      </w:r>
      <w:r w:rsidR="00661CDB">
        <w:t xml:space="preserve">, which Evans defines as </w:t>
      </w:r>
      <w:r w:rsidR="00661CDB">
        <w:rPr>
          <w:rFonts w:eastAsiaTheme="minorEastAsia"/>
          <w:iCs/>
        </w:rPr>
        <w:t>“</w:t>
      </w:r>
      <w:r w:rsidR="00661CDB">
        <w:t>institutionalized channels for the continual negotiation and re-negotiation of goals and policies.”</w:t>
      </w:r>
      <w:r w:rsidR="00E4449D">
        <w:rPr>
          <w:rStyle w:val="FootnoteReference"/>
        </w:rPr>
        <w:footnoteReference w:id="34"/>
      </w:r>
      <w:r w:rsidR="00661CDB">
        <w:t xml:space="preserve"> These channels of communication enable government agencies to understand </w:t>
      </w:r>
      <w:r w:rsidR="001531AE">
        <w:t>private firms</w:t>
      </w:r>
      <w:r w:rsidR="00661CDB">
        <w:t xml:space="preserve">’ </w:t>
      </w:r>
      <w:r w:rsidR="001531AE">
        <w:t>constraints and potential</w:t>
      </w:r>
      <w:r w:rsidR="00661CDB">
        <w:t>, as well as reshape their understanding in light of new information and changing circumstances. The channels can be ad hoc and informal, or formal such as joint councils, commissions</w:t>
      </w:r>
      <w:r w:rsidR="00B77B6F">
        <w:t>,</w:t>
      </w:r>
      <w:r w:rsidR="00661CDB">
        <w:t xml:space="preserve"> or roundtables.</w:t>
      </w:r>
      <w:r w:rsidR="00661CDB">
        <w:rPr>
          <w:rStyle w:val="FootnoteReference"/>
        </w:rPr>
        <w:footnoteReference w:id="35"/>
      </w:r>
      <w:r w:rsidR="00661CDB">
        <w:t xml:space="preserve"> </w:t>
      </w:r>
      <w:r w:rsidR="001531AE">
        <w:t xml:space="preserve"> </w:t>
      </w:r>
      <w:r w:rsidR="00601D83">
        <w:t xml:space="preserve"> </w:t>
      </w:r>
    </w:p>
    <w:p w14:paraId="5E0B314C" w14:textId="77777777" w:rsidR="004047D9" w:rsidRDefault="004047D9" w:rsidP="00D0783E">
      <w:pPr>
        <w:autoSpaceDE w:val="0"/>
        <w:autoSpaceDN w:val="0"/>
        <w:adjustRightInd w:val="0"/>
        <w:spacing w:after="0" w:line="240" w:lineRule="auto"/>
      </w:pPr>
    </w:p>
    <w:p w14:paraId="160479CD" w14:textId="0D0E3107" w:rsidR="007E36BF" w:rsidRDefault="007E36BF" w:rsidP="00D0783E">
      <w:pPr>
        <w:autoSpaceDE w:val="0"/>
        <w:autoSpaceDN w:val="0"/>
        <w:adjustRightInd w:val="0"/>
        <w:spacing w:after="0" w:line="240" w:lineRule="auto"/>
      </w:pPr>
      <w:r>
        <w:t>The second element is policy coordination. Unlike in the standard model, there is no presumption that Pigo</w:t>
      </w:r>
      <w:r w:rsidR="00E737B2">
        <w:t>u</w:t>
      </w:r>
      <w:r>
        <w:t>vian taxes/subsidies will be adequate or that they can be specified ex ante. The requisite remedies may range from alterations in particular government regulations to the provision of specific training or technologies to financial incentives (recall the Haryana cab employment scheme).</w:t>
      </w:r>
      <w:r w:rsidR="00C24DE2">
        <w:t xml:space="preserve">  In many cases, finance and risk absorption has been crucial.</w:t>
      </w:r>
      <w:r w:rsidR="00C24DE2">
        <w:rPr>
          <w:rStyle w:val="FootnoteReference"/>
        </w:rPr>
        <w:footnoteReference w:id="36"/>
      </w:r>
      <w:r>
        <w:t xml:space="preserve"> </w:t>
      </w:r>
      <w:r w:rsidR="00E356F2">
        <w:t xml:space="preserve">The nature of the needed remedies become clear over time, and cannot be determined at the outset. Appropriate responses may require action across different parts of the government and multiple departments/ministries. Therefore, government agencies charged with industrial policies need the ability to coordinate and mobilize these actions. If they lack the authority or capacity to do so effectively, they should be able to bump the task to a higher level of government authority, the governor’s or president’s offices, for example.  </w:t>
      </w:r>
    </w:p>
    <w:p w14:paraId="0D71598E" w14:textId="77777777" w:rsidR="00E356F2" w:rsidRDefault="00E356F2" w:rsidP="00D0783E">
      <w:pPr>
        <w:autoSpaceDE w:val="0"/>
        <w:autoSpaceDN w:val="0"/>
        <w:adjustRightInd w:val="0"/>
        <w:spacing w:after="0" w:line="240" w:lineRule="auto"/>
      </w:pPr>
    </w:p>
    <w:p w14:paraId="280C4894" w14:textId="7D83A07F" w:rsidR="00E356F2" w:rsidRDefault="00E356F2" w:rsidP="00D0783E">
      <w:pPr>
        <w:autoSpaceDE w:val="0"/>
        <w:autoSpaceDN w:val="0"/>
        <w:adjustRightInd w:val="0"/>
        <w:spacing w:after="0" w:line="240" w:lineRule="auto"/>
      </w:pPr>
      <w:r>
        <w:t xml:space="preserve">Third, </w:t>
      </w:r>
      <w:r w:rsidR="005E2799">
        <w:t>government learning has to be systematized and reflected in subsequent actions and decisions. This requires an explicit effort to monitor and evaluate the outcomes of industrial policy decisions.</w:t>
      </w:r>
      <w:r w:rsidR="0019511C">
        <w:t xml:space="preserve"> Many of these decisions will inevitably lead to sub-optimal outcomes and mistakes. What matters for the success of industrial policies is not </w:t>
      </w:r>
      <w:r w:rsidR="00E50D02">
        <w:t xml:space="preserve">just </w:t>
      </w:r>
      <w:r w:rsidR="0019511C">
        <w:t>the ability to “pick winners,”</w:t>
      </w:r>
      <w:r w:rsidR="00E50D02">
        <w:rPr>
          <w:rStyle w:val="FootnoteReference"/>
        </w:rPr>
        <w:footnoteReference w:id="37"/>
      </w:r>
      <w:r w:rsidR="0019511C">
        <w:t xml:space="preserve"> </w:t>
      </w:r>
      <w:r w:rsidR="007E10B4">
        <w:t>(or e</w:t>
      </w:r>
      <w:r w:rsidR="00E50D02">
        <w:t>qually importantly,</w:t>
      </w:r>
      <w:r w:rsidR="007E10B4">
        <w:t xml:space="preserve"> identify projects with large externalities) </w:t>
      </w:r>
      <w:r w:rsidR="0019511C">
        <w:t>but</w:t>
      </w:r>
      <w:r w:rsidR="00E50D02">
        <w:t xml:space="preserve"> also</w:t>
      </w:r>
      <w:r w:rsidR="0019511C">
        <w:t xml:space="preserve"> the ability to “let the losers go,” a less difficult but still demanding requirement.</w:t>
      </w:r>
      <w:r w:rsidR="005E2799">
        <w:t xml:space="preserve"> Often, the phasing in or partial implementation of programs can allow rigorous evaluation of policies through RCTs or econometric tools (as in the case of the Bogota fruit vendor scheme). But even if formal evaluation methods </w:t>
      </w:r>
      <w:r w:rsidR="0019511C">
        <w:t xml:space="preserve">cannot be deployed, it is possible to learn </w:t>
      </w:r>
      <w:r w:rsidR="003B1264">
        <w:t xml:space="preserve">from outcomes </w:t>
      </w:r>
      <w:r w:rsidR="0019511C">
        <w:t xml:space="preserve">and adjust policies appropriately. </w:t>
      </w:r>
      <w:r w:rsidR="003B1264">
        <w:t>For examples, w</w:t>
      </w:r>
      <w:r w:rsidR="0019511C">
        <w:t>hat stands out in Chin</w:t>
      </w:r>
      <w:r w:rsidR="003B1264">
        <w:t xml:space="preserve">ese practices of </w:t>
      </w:r>
      <w:r w:rsidR="0019511C">
        <w:t>industrial policies</w:t>
      </w:r>
      <w:r w:rsidR="003B1264">
        <w:t xml:space="preserve"> is the willingness to experiment with new policies in designated zones or provinces, and to adjust incentive schemes when they produced excess capacity or blatant inefficiency.  </w:t>
      </w:r>
      <w:r w:rsidR="0019511C">
        <w:t xml:space="preserve"> </w:t>
      </w:r>
      <w:r w:rsidR="005E2799">
        <w:t xml:space="preserve"> </w:t>
      </w:r>
    </w:p>
    <w:p w14:paraId="7A6DD7E0" w14:textId="77777777" w:rsidR="00C24DE2" w:rsidRDefault="00C24DE2" w:rsidP="00D0783E">
      <w:pPr>
        <w:autoSpaceDE w:val="0"/>
        <w:autoSpaceDN w:val="0"/>
        <w:adjustRightInd w:val="0"/>
        <w:spacing w:after="0" w:line="240" w:lineRule="auto"/>
      </w:pPr>
    </w:p>
    <w:p w14:paraId="4B3D8DC8" w14:textId="0A1760AF" w:rsidR="00C24DE2" w:rsidRDefault="00C24DE2" w:rsidP="00D0783E">
      <w:pPr>
        <w:autoSpaceDE w:val="0"/>
        <w:autoSpaceDN w:val="0"/>
        <w:adjustRightInd w:val="0"/>
        <w:spacing w:after="0" w:line="240" w:lineRule="auto"/>
      </w:pPr>
      <w:r>
        <w:t>Fourth</w:t>
      </w:r>
      <w:r w:rsidR="00E737B2">
        <w:t>, and relatedly</w:t>
      </w:r>
      <w:r>
        <w:t>, successful industrial policies have typically provided strong incentives</w:t>
      </w:r>
      <w:r w:rsidR="00E737B2">
        <w:t xml:space="preserve"> for compliance. </w:t>
      </w:r>
      <w:r w:rsidR="007E10B4">
        <w:t>In East Asia, t</w:t>
      </w:r>
      <w:r>
        <w:t>he financial support was not a gift; continued support required continued success on the part of the firm, often with objective indicators, like exports.</w:t>
      </w:r>
      <w:r w:rsidR="00376BCC">
        <w:t xml:space="preserve"> G</w:t>
      </w:r>
      <w:r w:rsidR="007675E4">
        <w:t>overnments looked for enterprises with substantial net worth, so they could have “skin in the game,” suffering significant losses in the event of failure.</w:t>
      </w:r>
      <w:r w:rsidR="00365779">
        <w:rPr>
          <w:rStyle w:val="FootnoteReference"/>
        </w:rPr>
        <w:footnoteReference w:id="38"/>
      </w:r>
    </w:p>
    <w:p w14:paraId="04E29C75" w14:textId="77777777" w:rsidR="007675E4" w:rsidRDefault="007675E4" w:rsidP="00D0783E">
      <w:pPr>
        <w:autoSpaceDE w:val="0"/>
        <w:autoSpaceDN w:val="0"/>
        <w:adjustRightInd w:val="0"/>
        <w:spacing w:after="0" w:line="240" w:lineRule="auto"/>
      </w:pPr>
    </w:p>
    <w:p w14:paraId="279965E8" w14:textId="1CEFFF7A" w:rsidR="007675E4" w:rsidRDefault="007675E4" w:rsidP="00D0783E">
      <w:pPr>
        <w:autoSpaceDE w:val="0"/>
        <w:autoSpaceDN w:val="0"/>
        <w:adjustRightInd w:val="0"/>
        <w:spacing w:after="0" w:line="240" w:lineRule="auto"/>
      </w:pPr>
      <w:r>
        <w:t xml:space="preserve">Fifth, successful industrial policies require </w:t>
      </w:r>
      <w:r w:rsidR="00B77B6F">
        <w:t xml:space="preserve">new </w:t>
      </w:r>
      <w:r>
        <w:t xml:space="preserve">institutions and institutional development (as we’ve already discussed). In many countries, development banks played an important role.  Creating institutional arrangements so that they were not captured, but at the same time were sensitive to market failures and social needs, was crucial.  Some countries have been very successful in this regard.  </w:t>
      </w:r>
    </w:p>
    <w:p w14:paraId="5476F5FC" w14:textId="77777777" w:rsidR="00AD5840" w:rsidRDefault="00AD5840" w:rsidP="00D0783E">
      <w:pPr>
        <w:autoSpaceDE w:val="0"/>
        <w:autoSpaceDN w:val="0"/>
        <w:adjustRightInd w:val="0"/>
        <w:spacing w:after="0" w:line="240" w:lineRule="auto"/>
      </w:pPr>
    </w:p>
    <w:p w14:paraId="67089ED2" w14:textId="56D59D0F" w:rsidR="004E0142" w:rsidRDefault="003B1264" w:rsidP="00D0783E">
      <w:pPr>
        <w:autoSpaceDE w:val="0"/>
        <w:autoSpaceDN w:val="0"/>
        <w:adjustRightInd w:val="0"/>
        <w:spacing w:after="0" w:line="240" w:lineRule="auto"/>
      </w:pPr>
      <w:r>
        <w:t>These lessons derive largely from the experience with industrial policy in manufacturing</w:t>
      </w:r>
      <w:r w:rsidR="003D0960">
        <w:t xml:space="preserve">, but are also broadly applicable to new challenges in decarbonization and services. They entail building </w:t>
      </w:r>
      <w:r w:rsidR="001B21D8" w:rsidRPr="001B21D8">
        <w:t>a new kind of</w:t>
      </w:r>
      <w:r w:rsidR="00B77B6F">
        <w:t xml:space="preserve"> cooperative</w:t>
      </w:r>
      <w:r w:rsidR="001B21D8" w:rsidRPr="001B21D8">
        <w:t xml:space="preserve"> relationship between </w:t>
      </w:r>
      <w:r w:rsidR="003D0960">
        <w:t xml:space="preserve">the </w:t>
      </w:r>
      <w:r w:rsidR="001B21D8" w:rsidRPr="001B21D8">
        <w:t>government and private firms</w:t>
      </w:r>
      <w:r w:rsidR="00B77B6F">
        <w:t>, with mutual responsibilities and obligations</w:t>
      </w:r>
      <w:r w:rsidR="001B21D8" w:rsidRPr="001B21D8">
        <w:t>.</w:t>
      </w:r>
      <w:r w:rsidR="00DB2FB4">
        <w:t xml:space="preserve"> </w:t>
      </w:r>
    </w:p>
    <w:p w14:paraId="4F7482D4" w14:textId="77777777" w:rsidR="00A64699" w:rsidRDefault="00A64699" w:rsidP="00D0783E">
      <w:pPr>
        <w:autoSpaceDE w:val="0"/>
        <w:autoSpaceDN w:val="0"/>
        <w:adjustRightInd w:val="0"/>
        <w:spacing w:after="0" w:line="240" w:lineRule="auto"/>
        <w:rPr>
          <w:sz w:val="20"/>
          <w:szCs w:val="20"/>
        </w:rPr>
      </w:pPr>
    </w:p>
    <w:p w14:paraId="30888258" w14:textId="6A21193E" w:rsidR="004E0142" w:rsidRDefault="004E0142" w:rsidP="00D0783E">
      <w:pPr>
        <w:autoSpaceDE w:val="0"/>
        <w:autoSpaceDN w:val="0"/>
        <w:adjustRightInd w:val="0"/>
        <w:spacing w:after="0" w:line="240" w:lineRule="auto"/>
        <w:rPr>
          <w:u w:val="single"/>
        </w:rPr>
      </w:pPr>
      <w:r w:rsidRPr="004E0142">
        <w:rPr>
          <w:u w:val="single"/>
        </w:rPr>
        <w:t>Concluding remarks</w:t>
      </w:r>
    </w:p>
    <w:p w14:paraId="35CC989D" w14:textId="77777777" w:rsidR="004E0142" w:rsidRDefault="004E0142" w:rsidP="00D0783E">
      <w:pPr>
        <w:autoSpaceDE w:val="0"/>
        <w:autoSpaceDN w:val="0"/>
        <w:adjustRightInd w:val="0"/>
        <w:spacing w:after="0" w:line="240" w:lineRule="auto"/>
        <w:rPr>
          <w:u w:val="single"/>
        </w:rPr>
      </w:pPr>
    </w:p>
    <w:p w14:paraId="453862E5" w14:textId="7A676793" w:rsidR="00E03BC0" w:rsidRDefault="002D3A74" w:rsidP="00D0783E">
      <w:pPr>
        <w:autoSpaceDE w:val="0"/>
        <w:autoSpaceDN w:val="0"/>
        <w:adjustRightInd w:val="0"/>
        <w:spacing w:after="0" w:line="240" w:lineRule="auto"/>
      </w:pPr>
      <w:r>
        <w:t xml:space="preserve">In some ways, the challenges facing developing countries have not changed. Broad capabilities such as skills, education, learning, and good governance remain fundamental determinants of long-term economic development. </w:t>
      </w:r>
      <w:r w:rsidR="00A177C2">
        <w:t xml:space="preserve">But </w:t>
      </w:r>
      <w:r w:rsidR="0094096A">
        <w:t>they are necessary, not sufficient.</w:t>
      </w:r>
      <w:r w:rsidR="009D5665">
        <w:t xml:space="preserve">  Sustained growth will require structural transformation, and structural transformation will, in general, not necessarily come about on its own, at least at the pace desired.  There will need to be explicit government policies to foster it.  </w:t>
      </w:r>
      <w:r w:rsidR="0094096A">
        <w:t xml:space="preserve">  W</w:t>
      </w:r>
      <w:r w:rsidR="00A177C2">
        <w:t xml:space="preserve">here structural change and associated policies are concerned, </w:t>
      </w:r>
      <w:r w:rsidR="00E03BC0">
        <w:t>the future of economic growth will look very different from its past. The climate challenge, new technologies and digitalization, premature de-industrialization, the changing global geopolitical landscape, receding hyper-globalization together render the export-oriented industrialization strategies of the past less viable and effective. We have argued in this essay for a strategy with two key prongs: investment in the green transition and productivity enhancement in labor-absorbing, mostly non-traded services. We have briefly discussed key elements of such a strategy.</w:t>
      </w:r>
    </w:p>
    <w:p w14:paraId="145F6800" w14:textId="77777777" w:rsidR="00E03BC0" w:rsidRDefault="00E03BC0" w:rsidP="00D0783E">
      <w:pPr>
        <w:autoSpaceDE w:val="0"/>
        <w:autoSpaceDN w:val="0"/>
        <w:adjustRightInd w:val="0"/>
        <w:spacing w:after="0" w:line="240" w:lineRule="auto"/>
      </w:pPr>
    </w:p>
    <w:p w14:paraId="69279B94" w14:textId="0C02DFF6" w:rsidR="00480C8F" w:rsidRDefault="00E03BC0" w:rsidP="00D0783E">
      <w:pPr>
        <w:autoSpaceDE w:val="0"/>
        <w:autoSpaceDN w:val="0"/>
        <w:adjustRightInd w:val="0"/>
        <w:spacing w:after="0" w:line="240" w:lineRule="auto"/>
      </w:pPr>
      <w:r>
        <w:t xml:space="preserve">This does not mean that other sectors of the economy, and manufacturing and agriculture, in particular, are unimportant and should be neglected. In most low-income economies, agriculture will continue to employ considerable numbers of poor people. Improving their plight will require investments in agricultural productivity and making use of new technologies as well as diversification into non-traditional crops. But as agriculture modernizes, it will </w:t>
      </w:r>
      <w:r w:rsidR="007E10B4">
        <w:t xml:space="preserve">almost certainly </w:t>
      </w:r>
      <w:r>
        <w:t xml:space="preserve">continue to release labor to the rest of the economy, necessitating the creation of </w:t>
      </w:r>
      <w:r w:rsidR="000166CA">
        <w:t>more</w:t>
      </w:r>
      <w:r>
        <w:t xml:space="preserve"> productive jobs in urban areas.</w:t>
      </w:r>
      <w:r w:rsidR="00DF5F8D">
        <w:rPr>
          <w:rStyle w:val="FootnoteReference"/>
        </w:rPr>
        <w:footnoteReference w:id="39"/>
      </w:r>
      <w:r>
        <w:t xml:space="preserve"> </w:t>
      </w:r>
      <w:r w:rsidR="000223D6">
        <w:t>In the past, manufacturing plausibly was the key sector which could absorb the</w:t>
      </w:r>
      <w:r w:rsidR="000166CA">
        <w:t>se</w:t>
      </w:r>
      <w:r w:rsidR="000223D6">
        <w:t xml:space="preserve"> new migrants, as well as workers from </w:t>
      </w:r>
      <w:r w:rsidR="000166CA">
        <w:t>unproductive informal activities.</w:t>
      </w:r>
      <w:r w:rsidR="00480C8F">
        <w:t xml:space="preserve"> Productive manufacturing sectors can still make important contributions to the economy (generating exports, tax revenues, and demand spillovers for other domestic sectors).</w:t>
      </w:r>
      <w:r w:rsidR="00430D42">
        <w:t xml:space="preserve"> </w:t>
      </w:r>
      <w:r w:rsidR="00A15F00">
        <w:t xml:space="preserve">There are </w:t>
      </w:r>
      <w:r w:rsidR="00430D42">
        <w:t>opportunities for strengthening links between manufacturing exporters, whether domestically or foreign-owned, and domestic suppliers and input providers to increase productive employment and disseminate new technologies.</w:t>
      </w:r>
      <w:r w:rsidR="00480C8F">
        <w:t xml:space="preserve"> But </w:t>
      </w:r>
      <w:r w:rsidR="00A15F00">
        <w:t xml:space="preserve">manufacturing’s </w:t>
      </w:r>
      <w:r w:rsidR="00480C8F">
        <w:t xml:space="preserve">ability to absorb the bulk of the job-seekers will be much more limited than in the past. Hence our emphasis on labor-absorbing services. </w:t>
      </w:r>
    </w:p>
    <w:p w14:paraId="20F2D5FE" w14:textId="77777777" w:rsidR="00480C8F" w:rsidRDefault="00480C8F" w:rsidP="00D0783E">
      <w:pPr>
        <w:autoSpaceDE w:val="0"/>
        <w:autoSpaceDN w:val="0"/>
        <w:adjustRightInd w:val="0"/>
        <w:spacing w:after="0" w:line="240" w:lineRule="auto"/>
      </w:pPr>
    </w:p>
    <w:p w14:paraId="746072E9" w14:textId="39B4C3B7" w:rsidR="003B4A38" w:rsidRDefault="003E7EE1" w:rsidP="00D0783E">
      <w:pPr>
        <w:autoSpaceDE w:val="0"/>
        <w:autoSpaceDN w:val="0"/>
        <w:adjustRightInd w:val="0"/>
        <w:spacing w:after="0" w:line="240" w:lineRule="auto"/>
      </w:pPr>
      <w:r>
        <w:t>S</w:t>
      </w:r>
      <w:r w:rsidR="00480C8F">
        <w:t>teering the requisite structural change</w:t>
      </w:r>
      <w:r>
        <w:t>s</w:t>
      </w:r>
      <w:r w:rsidR="00480C8F">
        <w:t xml:space="preserve"> </w:t>
      </w:r>
      <w:r>
        <w:t xml:space="preserve">will require new modes of industrial policies, focused on these new strategic priorities. </w:t>
      </w:r>
      <w:r w:rsidR="003B4A38">
        <w:t xml:space="preserve">Economists </w:t>
      </w:r>
      <w:r>
        <w:t>traditional</w:t>
      </w:r>
      <w:r w:rsidR="003B4A38">
        <w:t>ly</w:t>
      </w:r>
      <w:r>
        <w:t xml:space="preserve"> view industrial policy </w:t>
      </w:r>
      <w:r w:rsidR="003B4A38">
        <w:t>as</w:t>
      </w:r>
      <w:r>
        <w:t xml:space="preserve"> top-down interventions by “hard” states that keep business and other stakeholders at arms’ length. This picture never accurately reflected how successful industrial policy was run in East Asia. For green industries and services, it is even less useful.</w:t>
      </w:r>
      <w:r w:rsidR="003B4A38">
        <w:t xml:space="preserve"> T</w:t>
      </w:r>
      <w:r>
        <w:t xml:space="preserve">he </w:t>
      </w:r>
      <w:r w:rsidR="003B4A38">
        <w:t xml:space="preserve">significant </w:t>
      </w:r>
      <w:r>
        <w:t>uncertaint</w:t>
      </w:r>
      <w:r w:rsidR="003B4A38">
        <w:t>ies in technological evolution</w:t>
      </w:r>
      <w:r>
        <w:t>, heterogeneities among production units, and the highly dynamic setting</w:t>
      </w:r>
      <w:r w:rsidR="003B4A38">
        <w:t xml:space="preserve"> in these new areas require a new model of iterative, strategic collaboration between firms and government agencies (national and sub-national)</w:t>
      </w:r>
      <w:r w:rsidR="000442EF">
        <w:t xml:space="preserve">. The </w:t>
      </w:r>
      <w:r w:rsidR="00475200">
        <w:t xml:space="preserve">focus </w:t>
      </w:r>
      <w:r w:rsidR="000442EF">
        <w:t xml:space="preserve">would be </w:t>
      </w:r>
      <w:r w:rsidR="00475200">
        <w:t>on experimentation and learning</w:t>
      </w:r>
      <w:r w:rsidR="000442EF">
        <w:t xml:space="preserve">, with </w:t>
      </w:r>
      <w:r w:rsidR="003B4A38">
        <w:t>objectives, instruments, performance criteria</w:t>
      </w:r>
      <w:r w:rsidR="000B54A3">
        <w:t xml:space="preserve"> and institutions</w:t>
      </w:r>
      <w:r w:rsidR="003B4A38">
        <w:t xml:space="preserve"> developed and shaped over time.</w:t>
      </w:r>
      <w:r w:rsidR="000442EF">
        <w:t xml:space="preserve"> Government capacity would be accumulated in the process, rather than presumed as given.  </w:t>
      </w:r>
      <w:r w:rsidR="003B4A38">
        <w:t xml:space="preserve">  </w:t>
      </w:r>
    </w:p>
    <w:p w14:paraId="207BEE10" w14:textId="77777777" w:rsidR="000B54A3" w:rsidRDefault="000B54A3" w:rsidP="00D0783E">
      <w:pPr>
        <w:autoSpaceDE w:val="0"/>
        <w:autoSpaceDN w:val="0"/>
        <w:adjustRightInd w:val="0"/>
        <w:spacing w:after="0" w:line="240" w:lineRule="auto"/>
      </w:pPr>
    </w:p>
    <w:p w14:paraId="48FCB89A" w14:textId="6497C67F" w:rsidR="000B54A3" w:rsidRDefault="000B54A3" w:rsidP="00D0783E">
      <w:pPr>
        <w:autoSpaceDE w:val="0"/>
        <w:autoSpaceDN w:val="0"/>
        <w:adjustRightInd w:val="0"/>
        <w:spacing w:after="0" w:line="240" w:lineRule="auto"/>
      </w:pPr>
      <w:r>
        <w:t xml:space="preserve">All government policies, either by commission or omission, shape the economy and affect economic growth. In that sense, every country has an industrial policy—it’s just that some don’t know it.  An awareness of how the rules of the game, public expenditures and taxes, and explicit industrial policies shape the economy is not only important to prevent capture, but also to promote sustainable and inclusive growth.  </w:t>
      </w:r>
    </w:p>
    <w:p w14:paraId="3A8DF6A5" w14:textId="77777777" w:rsidR="003B4A38" w:rsidRDefault="003B4A38" w:rsidP="00D0783E">
      <w:pPr>
        <w:autoSpaceDE w:val="0"/>
        <w:autoSpaceDN w:val="0"/>
        <w:adjustRightInd w:val="0"/>
        <w:spacing w:after="0" w:line="240" w:lineRule="auto"/>
      </w:pPr>
    </w:p>
    <w:sectPr w:rsidR="003B4A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114D" w14:textId="77777777" w:rsidR="00317C1D" w:rsidRDefault="00317C1D" w:rsidP="0039193C">
      <w:pPr>
        <w:spacing w:after="0" w:line="240" w:lineRule="auto"/>
      </w:pPr>
      <w:r>
        <w:separator/>
      </w:r>
    </w:p>
  </w:endnote>
  <w:endnote w:type="continuationSeparator" w:id="0">
    <w:p w14:paraId="2D61357F" w14:textId="77777777" w:rsidR="00317C1D" w:rsidRDefault="00317C1D" w:rsidP="0039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wnTT-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240426"/>
      <w:docPartObj>
        <w:docPartGallery w:val="Page Numbers (Bottom of Page)"/>
        <w:docPartUnique/>
      </w:docPartObj>
    </w:sdtPr>
    <w:sdtEndPr>
      <w:rPr>
        <w:noProof/>
      </w:rPr>
    </w:sdtEndPr>
    <w:sdtContent>
      <w:p w14:paraId="49F5D610" w14:textId="6C0478BF" w:rsidR="0039193C" w:rsidRDefault="003919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35AA70" w14:textId="77777777" w:rsidR="0039193C" w:rsidRDefault="0039193C" w:rsidP="005811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D646" w14:textId="77777777" w:rsidR="00317C1D" w:rsidRDefault="00317C1D" w:rsidP="0039193C">
      <w:pPr>
        <w:spacing w:after="0" w:line="240" w:lineRule="auto"/>
      </w:pPr>
      <w:r>
        <w:separator/>
      </w:r>
    </w:p>
  </w:footnote>
  <w:footnote w:type="continuationSeparator" w:id="0">
    <w:p w14:paraId="76C5F33C" w14:textId="77777777" w:rsidR="00317C1D" w:rsidRDefault="00317C1D" w:rsidP="0039193C">
      <w:pPr>
        <w:spacing w:after="0" w:line="240" w:lineRule="auto"/>
      </w:pPr>
      <w:r>
        <w:continuationSeparator/>
      </w:r>
    </w:p>
  </w:footnote>
  <w:footnote w:id="1">
    <w:p w14:paraId="53415183" w14:textId="01AB8224" w:rsidR="00B23274" w:rsidRPr="00757A76" w:rsidRDefault="00B23274">
      <w:pPr>
        <w:pStyle w:val="FootnoteText"/>
        <w:rPr>
          <w:rFonts w:cstheme="minorHAnsi"/>
        </w:rPr>
      </w:pPr>
      <w:r w:rsidRPr="00757A76">
        <w:rPr>
          <w:rStyle w:val="FootnoteReference"/>
          <w:rFonts w:cstheme="minorHAnsi"/>
        </w:rPr>
        <w:footnoteRef/>
      </w:r>
      <w:r w:rsidRPr="00757A76">
        <w:rPr>
          <w:rFonts w:cstheme="minorHAnsi"/>
        </w:rPr>
        <w:t xml:space="preserve"> Harvard University and Columbia University, respectively. This is an essay prepared for the IEA-ERIA Project on the New Global Economic Order. </w:t>
      </w:r>
      <w:r w:rsidR="00A177C2">
        <w:rPr>
          <w:rFonts w:cstheme="minorHAnsi"/>
        </w:rPr>
        <w:t xml:space="preserve">We thank Kevin O’Rourke </w:t>
      </w:r>
      <w:r w:rsidR="00AA628E">
        <w:rPr>
          <w:rFonts w:cstheme="minorHAnsi"/>
        </w:rPr>
        <w:t xml:space="preserve">and Justin Yifu Lin </w:t>
      </w:r>
      <w:r w:rsidR="00A177C2">
        <w:rPr>
          <w:rFonts w:cstheme="minorHAnsi"/>
        </w:rPr>
        <w:t>for comments on an earlier version.</w:t>
      </w:r>
    </w:p>
  </w:footnote>
  <w:footnote w:id="2">
    <w:p w14:paraId="44390034" w14:textId="77777777" w:rsidR="006C34F0" w:rsidRPr="00757A76" w:rsidRDefault="006C34F0" w:rsidP="00DF5F8D">
      <w:pPr>
        <w:rPr>
          <w:rFonts w:cstheme="minorHAnsi"/>
          <w:sz w:val="20"/>
          <w:szCs w:val="20"/>
        </w:rPr>
      </w:pPr>
      <w:r w:rsidRPr="00757A76">
        <w:rPr>
          <w:rStyle w:val="FootnoteReference"/>
          <w:rFonts w:cstheme="minorHAnsi"/>
          <w:sz w:val="20"/>
          <w:szCs w:val="20"/>
        </w:rPr>
        <w:footnoteRef/>
      </w:r>
      <w:r w:rsidRPr="00757A76">
        <w:rPr>
          <w:rFonts w:cstheme="minorHAnsi"/>
          <w:sz w:val="20"/>
          <w:szCs w:val="20"/>
        </w:rPr>
        <w:t xml:space="preserve"> J. E. Stiglitz, “Learning to Learn, Localized Learning and Technological Progress,” </w:t>
      </w:r>
      <w:r w:rsidRPr="00757A76">
        <w:rPr>
          <w:rFonts w:cstheme="minorHAnsi"/>
          <w:i/>
          <w:sz w:val="20"/>
          <w:szCs w:val="20"/>
        </w:rPr>
        <w:t>Economic Policy and Technological Performance</w:t>
      </w:r>
      <w:r w:rsidRPr="00757A76">
        <w:rPr>
          <w:rFonts w:cstheme="minorHAnsi"/>
          <w:sz w:val="20"/>
          <w:szCs w:val="20"/>
        </w:rPr>
        <w:t>, P. Dasgupta and Stoneman (eds.), Cambridge University Press, 1987, pp. 125-153.</w:t>
      </w:r>
    </w:p>
    <w:p w14:paraId="4BB9C9E8" w14:textId="59C99E22" w:rsidR="006C34F0" w:rsidRPr="00757A76" w:rsidRDefault="006C34F0">
      <w:pPr>
        <w:pStyle w:val="FootnoteText"/>
        <w:rPr>
          <w:rFonts w:cstheme="minorHAnsi"/>
        </w:rPr>
      </w:pPr>
    </w:p>
  </w:footnote>
  <w:footnote w:id="3">
    <w:p w14:paraId="7A2453DB" w14:textId="5B7E829F" w:rsidR="005016E8" w:rsidRPr="0035081B" w:rsidRDefault="005016E8">
      <w:pPr>
        <w:pStyle w:val="FootnoteText"/>
        <w:rPr>
          <w:rFonts w:eastAsia="Times New Roman" w:cstheme="minorHAnsi"/>
          <w:color w:val="000000"/>
        </w:rPr>
      </w:pPr>
      <w:r>
        <w:rPr>
          <w:rStyle w:val="FootnoteReference"/>
        </w:rPr>
        <w:footnoteRef/>
      </w:r>
      <w:r>
        <w:t xml:space="preserve"> A key issue, addressed later in the paper in greater detail, is </w:t>
      </w:r>
      <w:r>
        <w:rPr>
          <w:i/>
          <w:iCs/>
        </w:rPr>
        <w:t xml:space="preserve">structural transformation towards what?  </w:t>
      </w:r>
      <w:r>
        <w:t>The early success of East Asia was a structural transformation from agriculture to manufacturing.  The thrust of this paper is that form of structural transformation won’t work.  Learning and structural transformation imply that past comparative advantages may not matter so much as the new comparative advantages that are created in this dynamic process.  Korea in 1960 obviously did not have a comparative advantage in chips.  An essential part of the structural transformation though is “learning to learn,” converting a static economy into a dynamic one.  See J. E. Stiglitz</w:t>
      </w:r>
      <w:r w:rsidRPr="006F703F">
        <w:rPr>
          <w:rFonts w:cstheme="minorHAnsi"/>
        </w:rPr>
        <w:t xml:space="preserve">, </w:t>
      </w:r>
      <w:r w:rsidRPr="0035081B">
        <w:rPr>
          <w:rFonts w:eastAsia="Times New Roman" w:cstheme="minorHAnsi"/>
          <w:color w:val="000000"/>
        </w:rPr>
        <w:t xml:space="preserve">“Learning to Learn, Localized Learning and Technological Progress,” </w:t>
      </w:r>
      <w:r w:rsidRPr="0035081B">
        <w:rPr>
          <w:rFonts w:eastAsia="Times New Roman" w:cstheme="minorHAnsi"/>
          <w:i/>
          <w:color w:val="000000"/>
        </w:rPr>
        <w:t>Economic Policy and Technological Performance</w:t>
      </w:r>
      <w:r w:rsidRPr="0035081B">
        <w:rPr>
          <w:rFonts w:eastAsia="Times New Roman" w:cstheme="minorHAnsi"/>
          <w:color w:val="000000"/>
        </w:rPr>
        <w:t>, P. Dasgupta and Stoneman (eds.), Cambridge University Press, 1987, pp. 125-153.</w:t>
      </w:r>
    </w:p>
    <w:p w14:paraId="1651BE63" w14:textId="77777777" w:rsidR="006F703F" w:rsidRPr="006F703F" w:rsidRDefault="006F703F">
      <w:pPr>
        <w:pStyle w:val="FootnoteText"/>
        <w:rPr>
          <w:rFonts w:cstheme="minorHAnsi"/>
        </w:rPr>
      </w:pPr>
    </w:p>
  </w:footnote>
  <w:footnote w:id="4">
    <w:p w14:paraId="02BC9459" w14:textId="65CA9B55" w:rsidR="002538F7" w:rsidRDefault="002538F7">
      <w:pPr>
        <w:pStyle w:val="FootnoteText"/>
      </w:pPr>
      <w:r>
        <w:rPr>
          <w:rStyle w:val="FootnoteReference"/>
        </w:rPr>
        <w:footnoteRef/>
      </w:r>
      <w:r>
        <w:t xml:space="preserve"> </w:t>
      </w:r>
      <w:r w:rsidR="0035081B">
        <w:t xml:space="preserve">For example, </w:t>
      </w:r>
      <w:r w:rsidR="006F703F" w:rsidRPr="006F703F">
        <w:t>Kerala state</w:t>
      </w:r>
      <w:r w:rsidR="006F703F">
        <w:t xml:space="preserve"> in India has consistently </w:t>
      </w:r>
      <w:r w:rsidR="0035081B">
        <w:t xml:space="preserve">emphasized investments in </w:t>
      </w:r>
      <w:r w:rsidR="006F703F">
        <w:t xml:space="preserve">education and health, but the </w:t>
      </w:r>
      <w:r w:rsidR="0035081B">
        <w:t xml:space="preserve">improvement of human development indicators has not been matched with strong economic growth, undermining the long-run sustainability of its development model. </w:t>
      </w:r>
      <w:r>
        <w:t xml:space="preserve">This is </w:t>
      </w:r>
      <w:r w:rsidR="0035081B">
        <w:t xml:space="preserve">also </w:t>
      </w:r>
      <w:r>
        <w:t xml:space="preserve">one reason why many countries in Latin America and Africa that adopted the Washington Consensus had disappointing growth outcomes, despite </w:t>
      </w:r>
      <w:r w:rsidR="0035081B">
        <w:t xml:space="preserve">significant </w:t>
      </w:r>
      <w:r>
        <w:t>improvements in education, governance, and macroeconomics stability indicators. The empirical literature on conditional convergence suggests that there are returns to improvements in these fundamentals, but the estimated rates of conditional convergence are generally too slow and cannot account for the kind of rapid growth we have seen in successful cases in East Asia and elsewhere.</w:t>
      </w:r>
      <w:r w:rsidR="00DD3652">
        <w:t xml:space="preserve"> D. Rodrik, </w:t>
      </w:r>
      <w:r w:rsidR="00DD3652" w:rsidRPr="00DD3652">
        <w:t xml:space="preserve">“The Past, Present, and Future of Economic Growth,” in Franklin Allen and others, </w:t>
      </w:r>
      <w:r w:rsidR="00DD3652" w:rsidRPr="00DD3652">
        <w:rPr>
          <w:u w:val="single"/>
        </w:rPr>
        <w:t>Towards a Better Global Economy: Policy Implications for Citizens Worldwide in the 21st Century</w:t>
      </w:r>
      <w:r w:rsidR="00DD3652" w:rsidRPr="00DD3652">
        <w:t>, Oxford University Press, Oxford and New York, 2014</w:t>
      </w:r>
      <w:r w:rsidR="00DD3652">
        <w:t>.</w:t>
      </w:r>
    </w:p>
    <w:p w14:paraId="5F3A531F" w14:textId="65B242E1" w:rsidR="002538F7" w:rsidRDefault="002538F7">
      <w:pPr>
        <w:pStyle w:val="FootnoteText"/>
      </w:pPr>
      <w:r>
        <w:t xml:space="preserve"> </w:t>
      </w:r>
    </w:p>
  </w:footnote>
  <w:footnote w:id="5">
    <w:p w14:paraId="40205091" w14:textId="2CB1ADCB" w:rsidR="00F80E4F" w:rsidRPr="00757A76" w:rsidRDefault="00DF512E" w:rsidP="00F80E4F">
      <w:pPr>
        <w:pStyle w:val="FootnoteText"/>
        <w:rPr>
          <w:rFonts w:eastAsia="Times New Roman" w:cstheme="minorHAnsi"/>
          <w:color w:val="000000"/>
        </w:rPr>
      </w:pPr>
      <w:r w:rsidRPr="00757A76">
        <w:rPr>
          <w:rStyle w:val="FootnoteReference"/>
          <w:rFonts w:cstheme="minorHAnsi"/>
        </w:rPr>
        <w:footnoteRef/>
      </w:r>
      <w:r w:rsidRPr="00757A76">
        <w:rPr>
          <w:rFonts w:cstheme="minorHAnsi"/>
        </w:rPr>
        <w:t xml:space="preserve"> </w:t>
      </w:r>
      <w:r w:rsidR="009D5665">
        <w:rPr>
          <w:rFonts w:cstheme="minorHAnsi"/>
        </w:rPr>
        <w:t>Countries that are overly dependent on an inflow of foreign capital (and therefore face increasing indebtedness) are subject to sudden changes in market sentiment, engendering a crisis with large consequences.  Competitive exchange rates typically simultaneously reduce the dependence</w:t>
      </w:r>
      <w:r w:rsidR="00814C15">
        <w:rPr>
          <w:rFonts w:cstheme="minorHAnsi"/>
        </w:rPr>
        <w:t xml:space="preserve"> on foreign capital inflows and are an instrument of industrial policy.</w:t>
      </w:r>
      <w:r w:rsidR="009D5665">
        <w:rPr>
          <w:rFonts w:cstheme="minorHAnsi"/>
        </w:rPr>
        <w:t xml:space="preserve"> </w:t>
      </w:r>
      <w:r w:rsidRPr="00757A76">
        <w:rPr>
          <w:rFonts w:cstheme="minorHAnsi"/>
        </w:rPr>
        <w:t xml:space="preserve">See, e.g. </w:t>
      </w:r>
      <w:r w:rsidRPr="00DF5F8D">
        <w:rPr>
          <w:rFonts w:cstheme="minorHAnsi"/>
        </w:rPr>
        <w:t xml:space="preserve">M. Guzman, J.A. Ocampo and J. E. Stiglitz, “Real Exchange Rate Policies for Economic Development,” </w:t>
      </w:r>
      <w:r w:rsidRPr="00DF5F8D">
        <w:rPr>
          <w:rFonts w:cstheme="minorHAnsi"/>
          <w:u w:val="single"/>
        </w:rPr>
        <w:t>World Development</w:t>
      </w:r>
      <w:r w:rsidRPr="00DF5F8D">
        <w:rPr>
          <w:rFonts w:cstheme="minorHAnsi"/>
        </w:rPr>
        <w:t xml:space="preserve">, </w:t>
      </w:r>
      <w:r w:rsidRPr="00E35842">
        <w:rPr>
          <w:rFonts w:cstheme="minorHAnsi"/>
        </w:rPr>
        <w:t xml:space="preserve">2018, </w:t>
      </w:r>
      <w:hyperlink r:id="rId1">
        <w:r w:rsidRPr="00E35842">
          <w:rPr>
            <w:rFonts w:cstheme="minorHAnsi"/>
          </w:rPr>
          <w:t>Vol. 110</w:t>
        </w:r>
      </w:hyperlink>
      <w:r w:rsidRPr="00E35842">
        <w:rPr>
          <w:rFonts w:cstheme="minorHAnsi"/>
        </w:rPr>
        <w:t>, pp. 51-62</w:t>
      </w:r>
      <w:r w:rsidR="00895EFC" w:rsidRPr="00E35842">
        <w:rPr>
          <w:rFonts w:cstheme="minorHAnsi"/>
        </w:rPr>
        <w:t xml:space="preserve">, and D. Rodrik, </w:t>
      </w:r>
      <w:bookmarkStart w:id="0" w:name="OLE_LINK1"/>
      <w:bookmarkStart w:id="1" w:name="OLE_LINK2"/>
      <w:r w:rsidR="00F80E4F" w:rsidRPr="00E35842">
        <w:rPr>
          <w:rFonts w:cstheme="minorHAnsi"/>
        </w:rPr>
        <w:t xml:space="preserve">“The Real Exchange Rate and Economic Growth,” </w:t>
      </w:r>
      <w:r w:rsidR="00F80E4F" w:rsidRPr="00E35842">
        <w:rPr>
          <w:rFonts w:cstheme="minorHAnsi"/>
          <w:u w:val="single"/>
        </w:rPr>
        <w:t>Brookings Papers on Economic Activity</w:t>
      </w:r>
      <w:r w:rsidR="00F80E4F" w:rsidRPr="00E35842">
        <w:rPr>
          <w:rFonts w:cstheme="minorHAnsi"/>
        </w:rPr>
        <w:t xml:space="preserve">, 2008:2.  </w:t>
      </w:r>
    </w:p>
    <w:bookmarkEnd w:id="0"/>
    <w:bookmarkEnd w:id="1"/>
    <w:p w14:paraId="068D61FE" w14:textId="32BFA1D2" w:rsidR="00DF512E" w:rsidRPr="00757A76" w:rsidRDefault="00DF512E">
      <w:pPr>
        <w:pStyle w:val="FootnoteText"/>
        <w:rPr>
          <w:rFonts w:cstheme="minorHAnsi"/>
        </w:rPr>
      </w:pPr>
    </w:p>
  </w:footnote>
  <w:footnote w:id="6">
    <w:p w14:paraId="6C5A72AF" w14:textId="2179595F" w:rsidR="005768DE" w:rsidRPr="00757A76" w:rsidRDefault="005768DE">
      <w:pPr>
        <w:pStyle w:val="FootnoteText"/>
        <w:rPr>
          <w:rFonts w:cstheme="minorHAnsi"/>
        </w:rPr>
      </w:pPr>
      <w:r w:rsidRPr="00757A76">
        <w:rPr>
          <w:rStyle w:val="FootnoteReference"/>
          <w:rFonts w:cstheme="minorHAnsi"/>
        </w:rPr>
        <w:footnoteRef/>
      </w:r>
      <w:r w:rsidRPr="00757A76">
        <w:rPr>
          <w:rFonts w:cstheme="minorHAnsi"/>
        </w:rPr>
        <w:t xml:space="preserve"> There is an extensive theoretical literature on why the government must do this and markets themselves can’t be relied upon, focusing on </w:t>
      </w:r>
      <w:r w:rsidRPr="00757A76">
        <w:rPr>
          <w:rFonts w:cstheme="minorHAnsi"/>
          <w:i/>
          <w:iCs/>
        </w:rPr>
        <w:t xml:space="preserve">market failures.  </w:t>
      </w:r>
      <w:r w:rsidRPr="00757A76">
        <w:rPr>
          <w:rFonts w:cstheme="minorHAnsi"/>
        </w:rPr>
        <w:t xml:space="preserve">Beginning with the work of Arrow, Debreu, Greenwald and Stiglitz </w:t>
      </w:r>
      <w:r w:rsidR="005016E8">
        <w:rPr>
          <w:rFonts w:cstheme="minorHAnsi"/>
        </w:rPr>
        <w:t>(</w:t>
      </w:r>
      <w:r w:rsidR="00A15C66" w:rsidRPr="00757A76">
        <w:rPr>
          <w:rFonts w:eastAsia="Times New Roman" w:cstheme="minorHAnsi"/>
          <w:color w:val="000000"/>
        </w:rPr>
        <w:t xml:space="preserve">“Externalities in Economies with Imperfect Information and Incomplete Markets,” </w:t>
      </w:r>
      <w:r w:rsidR="00A15C66" w:rsidRPr="00757A76">
        <w:rPr>
          <w:rFonts w:eastAsia="Times New Roman" w:cstheme="minorHAnsi"/>
          <w:i/>
          <w:color w:val="000000"/>
        </w:rPr>
        <w:t>Quarterly Journal of Economics</w:t>
      </w:r>
      <w:r w:rsidR="00A15C66" w:rsidRPr="00757A76">
        <w:rPr>
          <w:rFonts w:eastAsia="Times New Roman" w:cstheme="minorHAnsi"/>
          <w:color w:val="000000"/>
        </w:rPr>
        <w:t xml:space="preserve">, Vol. 101, No. 2, May 1986, pp. 229-264. </w:t>
      </w:r>
      <w:r w:rsidRPr="00757A76">
        <w:rPr>
          <w:rFonts w:cstheme="minorHAnsi"/>
        </w:rPr>
        <w:t xml:space="preserve"> ), Stiglitz and Weiss ( </w:t>
      </w:r>
      <w:r w:rsidR="00A15C66" w:rsidRPr="00757A76">
        <w:rPr>
          <w:rFonts w:cstheme="minorHAnsi"/>
        </w:rPr>
        <w:t xml:space="preserve">“Credit Rationing in Markets with Imperfect Information,” , </w:t>
      </w:r>
      <w:r w:rsidR="00A15C66" w:rsidRPr="00C21C75">
        <w:rPr>
          <w:rFonts w:cstheme="minorHAnsi"/>
          <w:i/>
          <w:iCs/>
        </w:rPr>
        <w:t>American Economic Review</w:t>
      </w:r>
      <w:r w:rsidR="00A15C66" w:rsidRPr="00757A76">
        <w:rPr>
          <w:rFonts w:cstheme="minorHAnsi"/>
        </w:rPr>
        <w:t>, 71(3), June 1981, pp. 393-410</w:t>
      </w:r>
      <w:r w:rsidRPr="00757A76">
        <w:rPr>
          <w:rFonts w:cstheme="minorHAnsi"/>
        </w:rPr>
        <w:t xml:space="preserve">) and a host of others from the 1950’s on, there developed an understanding of the range and nature of these market failures, and what government could do to overcome them, or at least mitigate their consequences. </w:t>
      </w:r>
      <w:r w:rsidR="00A15C66" w:rsidRPr="00757A76">
        <w:rPr>
          <w:rFonts w:cstheme="minorHAnsi"/>
        </w:rPr>
        <w:t xml:space="preserve">(See J. E. Stiglitz, </w:t>
      </w:r>
      <w:r w:rsidR="00A15C66" w:rsidRPr="00757A76">
        <w:rPr>
          <w:rFonts w:eastAsia="Times New Roman" w:cstheme="minorHAnsi"/>
          <w:i/>
          <w:color w:val="000000"/>
        </w:rPr>
        <w:t>The Economic Role of the State</w:t>
      </w:r>
      <w:r w:rsidR="00A15C66" w:rsidRPr="00757A76">
        <w:rPr>
          <w:rFonts w:eastAsia="Times New Roman" w:cstheme="minorHAnsi"/>
          <w:color w:val="000000"/>
        </w:rPr>
        <w:t xml:space="preserve">, Oxford, Basil Blackwell, 1989.) </w:t>
      </w:r>
      <w:r w:rsidRPr="00757A76">
        <w:rPr>
          <w:rFonts w:cstheme="minorHAnsi"/>
        </w:rPr>
        <w:t xml:space="preserve"> In the context of development and decisions about the structure of production, this led to a literature on industrial policies for developing countries (for a broad discussion, see </w:t>
      </w:r>
      <w:r w:rsidR="00A15C66" w:rsidRPr="00757A76">
        <w:rPr>
          <w:rFonts w:cstheme="minorHAnsi"/>
          <w:kern w:val="0"/>
          <w14:ligatures w14:val="none"/>
        </w:rPr>
        <w:t xml:space="preserve">B. Greenwald and J.E. Stiglitz, “Industrial Policies, the Creation of a Learning Society, and Economic Development,” In J.E. Stiglitz and J. Yifu Lin, eds., </w:t>
      </w:r>
      <w:r w:rsidR="00A15C66" w:rsidRPr="00757A76">
        <w:rPr>
          <w:rFonts w:cstheme="minorHAnsi"/>
          <w:i/>
          <w:iCs/>
          <w:kern w:val="0"/>
          <w14:ligatures w14:val="none"/>
        </w:rPr>
        <w:t>The Industrial Policy Revolution,</w:t>
      </w:r>
      <w:r w:rsidR="00A15C66" w:rsidRPr="00757A76">
        <w:rPr>
          <w:rFonts w:cstheme="minorHAnsi"/>
          <w:kern w:val="0"/>
          <w14:ligatures w14:val="none"/>
        </w:rPr>
        <w:t xml:space="preserve"> Basingstoke and New York: Palgrave Macmillan, 2014</w:t>
      </w:r>
      <w:r w:rsidRPr="00757A76">
        <w:rPr>
          <w:rFonts w:cstheme="minorHAnsi"/>
        </w:rPr>
        <w:t xml:space="preserve"> ; as discussions drew attention to the importance of  innovation (see footnote below), these were dubbed Learning, Industrial, and Technology policies. (</w:t>
      </w:r>
      <w:r w:rsidR="00A15C66" w:rsidRPr="00757A76">
        <w:rPr>
          <w:rFonts w:cstheme="minorHAnsi"/>
        </w:rPr>
        <w:t>A. Noman and J. E. Stiglitz, “Strategies for African Development</w:t>
      </w:r>
      <w:r w:rsidR="00C21C75">
        <w:rPr>
          <w:rFonts w:cstheme="minorHAnsi"/>
        </w:rPr>
        <w:t>,</w:t>
      </w:r>
      <w:r w:rsidR="00A15C66" w:rsidRPr="00757A76">
        <w:rPr>
          <w:rFonts w:cstheme="minorHAnsi"/>
        </w:rPr>
        <w:t>” in Good Growth and Governance for Africa: Rethinking Development Strategies, A. Noman, K. Botchwey, H. Stein, and J.E. Stiglitz, eds., Oxford, New York: Oxford University Press, 2014, pp. 3-47.</w:t>
      </w:r>
    </w:p>
  </w:footnote>
  <w:footnote w:id="7">
    <w:p w14:paraId="6A221246" w14:textId="22300BFA" w:rsidR="00F32063" w:rsidRDefault="00F32063">
      <w:pPr>
        <w:pStyle w:val="FootnoteText"/>
        <w:rPr>
          <w:rFonts w:cstheme="minorHAnsi"/>
        </w:rPr>
      </w:pPr>
      <w:r w:rsidRPr="00757A76">
        <w:rPr>
          <w:rStyle w:val="FootnoteReference"/>
          <w:rFonts w:cstheme="minorHAnsi"/>
        </w:rPr>
        <w:footnoteRef/>
      </w:r>
      <w:r w:rsidRPr="00757A76">
        <w:rPr>
          <w:rFonts w:cstheme="minorHAnsi"/>
        </w:rPr>
        <w:t xml:space="preserve"> Trade barriers did not come down uniformly, and there was a big gap between rhetoric and reality. And what some would view as new trade barriers appeared – such as those associated with intellectual property. </w:t>
      </w:r>
    </w:p>
    <w:p w14:paraId="38AAFA66" w14:textId="77777777" w:rsidR="00C21C75" w:rsidRPr="00757A76" w:rsidRDefault="00C21C75">
      <w:pPr>
        <w:pStyle w:val="FootnoteText"/>
        <w:rPr>
          <w:rFonts w:cstheme="minorHAnsi"/>
        </w:rPr>
      </w:pPr>
    </w:p>
  </w:footnote>
  <w:footnote w:id="8">
    <w:p w14:paraId="7208DC18" w14:textId="12C47C6C" w:rsidR="00551481" w:rsidRPr="00757A76" w:rsidRDefault="00551481" w:rsidP="00C21C75">
      <w:pPr>
        <w:rPr>
          <w:rFonts w:cstheme="minorHAnsi"/>
        </w:rPr>
      </w:pPr>
      <w:r w:rsidRPr="00757A76">
        <w:rPr>
          <w:rStyle w:val="FootnoteReference"/>
          <w:rFonts w:cstheme="minorHAnsi"/>
          <w:sz w:val="20"/>
          <w:szCs w:val="20"/>
        </w:rPr>
        <w:footnoteRef/>
      </w:r>
      <w:r w:rsidRPr="00757A76">
        <w:rPr>
          <w:rFonts w:cstheme="minorHAnsi"/>
          <w:sz w:val="20"/>
          <w:szCs w:val="20"/>
        </w:rPr>
        <w:t xml:space="preserve"> D. Rodrik, “Premature Deindustrialization,” </w:t>
      </w:r>
      <w:r w:rsidRPr="00757A76">
        <w:rPr>
          <w:rFonts w:cstheme="minorHAnsi"/>
          <w:sz w:val="20"/>
          <w:szCs w:val="20"/>
          <w:u w:val="single"/>
        </w:rPr>
        <w:t>Journal of Economic Growth</w:t>
      </w:r>
      <w:r w:rsidRPr="00757A76">
        <w:rPr>
          <w:rFonts w:cstheme="minorHAnsi"/>
          <w:sz w:val="20"/>
          <w:szCs w:val="20"/>
        </w:rPr>
        <w:t xml:space="preserve">, 21(1), March 2016; D. Rodrik, “Prospects for Global Economic Convergence Under New Technologies,” in David Autor et al., </w:t>
      </w:r>
      <w:r w:rsidRPr="00757A76">
        <w:rPr>
          <w:rFonts w:cstheme="minorHAnsi"/>
          <w:sz w:val="20"/>
          <w:szCs w:val="20"/>
          <w:u w:val="single"/>
        </w:rPr>
        <w:t>An Inclusive Future? Technology, New Dynamics, and Policy Challenges</w:t>
      </w:r>
      <w:r w:rsidRPr="00757A76">
        <w:rPr>
          <w:rFonts w:cstheme="minorHAnsi"/>
          <w:sz w:val="20"/>
          <w:szCs w:val="20"/>
        </w:rPr>
        <w:t>, Brookings Institution, Washington, D.C., May 2022.</w:t>
      </w:r>
      <w:r w:rsidR="005B5197" w:rsidRPr="00757A76">
        <w:rPr>
          <w:rFonts w:cstheme="minorHAnsi"/>
          <w:sz w:val="20"/>
          <w:szCs w:val="20"/>
        </w:rPr>
        <w:t xml:space="preserve">  (In the context of Africa, this de-industrialization had set in earlier.  Its causes, consequences, and potential remedies, are discussed in A. Noman and J. E. Stiglitz,</w:t>
      </w:r>
      <w:r w:rsidR="00757A76">
        <w:rPr>
          <w:rFonts w:cstheme="minorHAnsi"/>
          <w:sz w:val="20"/>
          <w:szCs w:val="20"/>
        </w:rPr>
        <w:t xml:space="preserve"> </w:t>
      </w:r>
      <w:r w:rsidR="005768DE" w:rsidRPr="00757A76">
        <w:rPr>
          <w:rFonts w:cstheme="minorHAnsi"/>
          <w:i/>
          <w:iCs/>
          <w:sz w:val="20"/>
          <w:szCs w:val="20"/>
        </w:rPr>
        <w:t>op. cit</w:t>
      </w:r>
      <w:r w:rsidR="005B5197" w:rsidRPr="00757A76">
        <w:rPr>
          <w:rFonts w:eastAsia="Times New Roman" w:cstheme="minorHAnsi"/>
          <w:color w:val="000000"/>
          <w:sz w:val="20"/>
          <w:szCs w:val="20"/>
        </w:rPr>
        <w:t>)</w:t>
      </w:r>
      <w:r w:rsidR="00757A76">
        <w:rPr>
          <w:rFonts w:eastAsia="Times New Roman" w:cstheme="minorHAnsi"/>
          <w:color w:val="000000"/>
          <w:sz w:val="20"/>
          <w:szCs w:val="20"/>
        </w:rPr>
        <w:t>.</w:t>
      </w:r>
    </w:p>
  </w:footnote>
  <w:footnote w:id="9">
    <w:p w14:paraId="749EED09" w14:textId="77777777" w:rsidR="00AA628E" w:rsidRPr="002B49DC" w:rsidRDefault="00AA628E" w:rsidP="00AA628E">
      <w:pPr>
        <w:pStyle w:val="FootnoteText"/>
      </w:pPr>
      <w:r>
        <w:rPr>
          <w:rStyle w:val="FootnoteReference"/>
        </w:rPr>
        <w:footnoteRef/>
      </w:r>
      <w:r>
        <w:t xml:space="preserve"> </w:t>
      </w:r>
      <w:r w:rsidRPr="00AA628E">
        <w:t xml:space="preserve">Two countries seem to be exceptions to this trend: Bangladesh and Vietnam. Bangladesh is more of an apparent exception than a real one. While the country has been highly successful with ready-made garments (RMG) for export, Bangladesh’s manufacturing sector remains heavily concentrated, and diversifying out of RMG has proved difficult. Despite the export orientation, the share of informal employment in textiles and garments is above 90 percent. Shortage of skills and the need for technological upgrading are common themes in discussions of Bangladesh’s manufacturing, both of which obviate the country’s fundamental comparative advantage in low-skilled labor. See D. Rodrik, “Prospects for Global Economic Convergence Under New Technologies,” in David Autor et al., </w:t>
      </w:r>
      <w:r w:rsidRPr="00AA628E">
        <w:rPr>
          <w:u w:val="single"/>
        </w:rPr>
        <w:t>An Inclusive Future? Technology, New Dynamics, and Policy Challenges</w:t>
      </w:r>
      <w:r w:rsidRPr="00AA628E">
        <w:t xml:space="preserve">, Brookings Institution, Washington, D.C., May 2022. Vietnam has been much more successful, with a particularly sharp rise in manufacturing employment after the mid-2010s. But it had the singular advantage of geographical proximity to China and other East Asian exporters. It has been the leading beneficiary of first rising wage costs in China, then the Trump tariffs on China, and eventually the U.S. emphasis on “friend-shoring.” In Vietnam too, integration into the world economy through inward direct investment has made increasing demand on skills. “Skill shortages” (and consequent problems of “job hopping” and “employer poaching”) are reported to be among the most important constraints export-oriented foreign investors such as Samsung face. See Peter Sheldon and Seung-Ho Kwon, “Samsung in Vietnam: FDI, Business-Government </w:t>
      </w:r>
      <w:r w:rsidRPr="002B49DC">
        <w:t>Relations, Industrial Parks, and Skills Shortages</w:t>
      </w:r>
      <w:r w:rsidRPr="00AA628E">
        <w:t xml:space="preserve">,” </w:t>
      </w:r>
      <w:r w:rsidRPr="00AA628E">
        <w:rPr>
          <w:u w:val="single"/>
        </w:rPr>
        <w:t>The Economic and Labour Relations Review</w:t>
      </w:r>
      <w:r w:rsidRPr="00AA628E">
        <w:t xml:space="preserve"> (2023), 34, 66–85.</w:t>
      </w:r>
    </w:p>
    <w:p w14:paraId="3061CB98" w14:textId="0FF87240" w:rsidR="00AA628E" w:rsidRDefault="00AA628E">
      <w:pPr>
        <w:pStyle w:val="FootnoteText"/>
      </w:pPr>
    </w:p>
  </w:footnote>
  <w:footnote w:id="10">
    <w:p w14:paraId="659A6027" w14:textId="60197374" w:rsidR="00551481" w:rsidRDefault="00551481">
      <w:pPr>
        <w:pStyle w:val="FootnoteText"/>
        <w:rPr>
          <w:rFonts w:cstheme="minorHAnsi"/>
        </w:rPr>
      </w:pPr>
      <w:r w:rsidRPr="00757A76">
        <w:rPr>
          <w:rStyle w:val="FootnoteReference"/>
          <w:rFonts w:cstheme="minorHAnsi"/>
        </w:rPr>
        <w:footnoteRef/>
      </w:r>
      <w:r w:rsidRPr="00757A76">
        <w:rPr>
          <w:rFonts w:cstheme="minorHAnsi"/>
        </w:rPr>
        <w:t xml:space="preserve">  X. Diao, M. Ellis, M. McMillan, and D. Rodrik, “</w:t>
      </w:r>
      <w:hyperlink r:id="rId2" w:history="1">
        <w:r w:rsidRPr="00757A76">
          <w:rPr>
            <w:rFonts w:cstheme="minorHAnsi"/>
          </w:rPr>
          <w:t>Africa's Manufacturing Puzzle: Evidence from Tanzanian and Ethiopian Firms</w:t>
        </w:r>
      </w:hyperlink>
      <w:r w:rsidRPr="00757A76">
        <w:rPr>
          <w:rFonts w:cstheme="minorHAnsi"/>
        </w:rPr>
        <w:t xml:space="preserve">,” January 2021. </w:t>
      </w:r>
    </w:p>
    <w:p w14:paraId="44B68FA7" w14:textId="77777777" w:rsidR="00F0796B" w:rsidRPr="00757A76" w:rsidRDefault="00F0796B">
      <w:pPr>
        <w:pStyle w:val="FootnoteText"/>
        <w:rPr>
          <w:rFonts w:cstheme="minorHAnsi"/>
        </w:rPr>
      </w:pPr>
    </w:p>
  </w:footnote>
  <w:footnote w:id="11">
    <w:p w14:paraId="18140C20" w14:textId="242B62FC" w:rsidR="00F32063" w:rsidRDefault="00192598">
      <w:pPr>
        <w:pStyle w:val="FootnoteText"/>
        <w:rPr>
          <w:rFonts w:cstheme="minorHAnsi"/>
        </w:rPr>
      </w:pPr>
      <w:r w:rsidRPr="00757A76">
        <w:rPr>
          <w:rStyle w:val="FootnoteReference"/>
          <w:rFonts w:cstheme="minorHAnsi"/>
        </w:rPr>
        <w:footnoteRef/>
      </w:r>
      <w:r w:rsidRPr="00757A76">
        <w:rPr>
          <w:rFonts w:cstheme="minorHAnsi"/>
        </w:rPr>
        <w:t xml:space="preserve"> Some natural resource rich countries can manage periods of very rapid economic growth, but if the proceeds of the natural resources are not reinvested in structural transformation—which has typically been the case—the growth is limited.  When the resources run out or prices come down, growth stops, and often reverses.</w:t>
      </w:r>
    </w:p>
    <w:p w14:paraId="5CC7E262" w14:textId="77777777" w:rsidR="00C21C75" w:rsidRPr="00757A76" w:rsidRDefault="00C21C75">
      <w:pPr>
        <w:pStyle w:val="FootnoteText"/>
        <w:rPr>
          <w:rFonts w:cstheme="minorHAnsi"/>
        </w:rPr>
      </w:pPr>
    </w:p>
  </w:footnote>
  <w:footnote w:id="12">
    <w:p w14:paraId="5973BCC2" w14:textId="77777777" w:rsidR="00F80E4F" w:rsidRPr="00757A76" w:rsidRDefault="00627794">
      <w:pPr>
        <w:pStyle w:val="FootnoteText"/>
        <w:rPr>
          <w:rFonts w:cstheme="minorHAnsi"/>
        </w:rPr>
      </w:pPr>
      <w:r w:rsidRPr="00757A76">
        <w:rPr>
          <w:rStyle w:val="FootnoteReference"/>
          <w:rFonts w:cstheme="minorHAnsi"/>
        </w:rPr>
        <w:footnoteRef/>
      </w:r>
      <w:r w:rsidRPr="00757A76">
        <w:rPr>
          <w:rFonts w:cstheme="minorHAnsi"/>
        </w:rPr>
        <w:t xml:space="preserve"> Our concern here is not with the overall quantity of jobs or with full-employment, but with the structure of jobs. Reasonable macroeconomic policies (along with “flexible” labor markets) will ensure full employment, but the resulting structure can be sub-optimal from a developmental standpoint and not growth-promoting. We focus, therefore, on the creation of more jobs in the more productive sectors of the economy as a vehicle of structural transformation and growth, analogous to the role that industrialization has played historically. </w:t>
      </w:r>
    </w:p>
    <w:p w14:paraId="6B1FB9A5" w14:textId="047D640B" w:rsidR="00627794" w:rsidRPr="00757A76" w:rsidRDefault="00627794">
      <w:pPr>
        <w:pStyle w:val="FootnoteText"/>
        <w:rPr>
          <w:rFonts w:cstheme="minorHAnsi"/>
        </w:rPr>
      </w:pPr>
      <w:r w:rsidRPr="00757A76">
        <w:rPr>
          <w:rFonts w:cstheme="minorHAnsi"/>
        </w:rPr>
        <w:t xml:space="preserve"> </w:t>
      </w:r>
    </w:p>
  </w:footnote>
  <w:footnote w:id="13">
    <w:p w14:paraId="67E0682E" w14:textId="7AABE730" w:rsidR="0035081B" w:rsidRDefault="007622A9">
      <w:pPr>
        <w:pStyle w:val="FootnoteText"/>
      </w:pPr>
      <w:r>
        <w:rPr>
          <w:rStyle w:val="FootnoteReference"/>
        </w:rPr>
        <w:footnoteRef/>
      </w:r>
      <w:r>
        <w:t xml:space="preserve"> Thus, the contention that a few countries have been able to sustain growth </w:t>
      </w:r>
      <w:r>
        <w:rPr>
          <w:i/>
          <w:iCs/>
        </w:rPr>
        <w:t xml:space="preserve">so far </w:t>
      </w:r>
      <w:r>
        <w:t>through a manufacturing export</w:t>
      </w:r>
      <w:r w:rsidR="0035081B">
        <w:t>-</w:t>
      </w:r>
      <w:r>
        <w:t xml:space="preserve">oriented strategy is not inconsistent with the overall thrust of this paper.  </w:t>
      </w:r>
    </w:p>
    <w:p w14:paraId="5526E528" w14:textId="59CB509C" w:rsidR="007622A9" w:rsidRPr="007622A9" w:rsidRDefault="007622A9">
      <w:pPr>
        <w:pStyle w:val="FootnoteText"/>
      </w:pPr>
      <w:r>
        <w:t xml:space="preserve"> </w:t>
      </w:r>
    </w:p>
  </w:footnote>
  <w:footnote w:id="14">
    <w:p w14:paraId="78F92868" w14:textId="439A8A68" w:rsidR="005B5197" w:rsidRDefault="005B5197">
      <w:pPr>
        <w:pStyle w:val="FootnoteText"/>
        <w:rPr>
          <w:rFonts w:cstheme="minorHAnsi"/>
        </w:rPr>
      </w:pPr>
      <w:r w:rsidRPr="00757A76">
        <w:rPr>
          <w:rStyle w:val="FootnoteReference"/>
          <w:rFonts w:cstheme="minorHAnsi"/>
        </w:rPr>
        <w:footnoteRef/>
      </w:r>
      <w:r w:rsidRPr="00757A76">
        <w:rPr>
          <w:rFonts w:cstheme="minorHAnsi"/>
        </w:rPr>
        <w:t xml:space="preserve"> In his, “</w:t>
      </w:r>
      <w:hyperlink r:id="rId3" w:history="1">
        <w:r w:rsidRPr="00757A76">
          <w:rPr>
            <w:rFonts w:cstheme="minorHAnsi"/>
          </w:rPr>
          <w:t>From Manufacturing Led Export Growth to a Twenty-First Century Inclusive Growth Strategy:  Explaining the Demise of a Successful Growth Model and What to Do About It</w:t>
        </w:r>
      </w:hyperlink>
      <w:r w:rsidRPr="00757A76">
        <w:rPr>
          <w:rFonts w:cstheme="minorHAnsi"/>
        </w:rPr>
        <w:t>,"</w:t>
      </w:r>
      <w:r w:rsidR="00EE0682" w:rsidRPr="00757A76">
        <w:rPr>
          <w:rFonts w:cstheme="minorHAnsi"/>
        </w:rPr>
        <w:t xml:space="preserve"> Stiglitz deconstructs why the EOI growth strategy was so successful and what a 21</w:t>
      </w:r>
      <w:r w:rsidR="00EE0682" w:rsidRPr="00C21C75">
        <w:rPr>
          <w:rFonts w:cstheme="minorHAnsi"/>
          <w:vertAlign w:val="superscript"/>
        </w:rPr>
        <w:t>st</w:t>
      </w:r>
      <w:r w:rsidR="00EE0682" w:rsidRPr="00757A76">
        <w:rPr>
          <w:rFonts w:cstheme="minorHAnsi"/>
        </w:rPr>
        <w:t xml:space="preserve"> century replacement</w:t>
      </w:r>
      <w:r w:rsidR="000D11A7">
        <w:rPr>
          <w:rFonts w:cstheme="minorHAnsi"/>
        </w:rPr>
        <w:t>—a multi-pronged strategy--</w:t>
      </w:r>
      <w:r w:rsidR="00EE0682" w:rsidRPr="00757A76">
        <w:rPr>
          <w:rFonts w:cstheme="minorHAnsi"/>
        </w:rPr>
        <w:t xml:space="preserve"> might look like.  (In </w:t>
      </w:r>
      <w:r w:rsidRPr="00757A76">
        <w:rPr>
          <w:rFonts w:cstheme="minorHAnsi"/>
        </w:rPr>
        <w:t xml:space="preserve"> </w:t>
      </w:r>
      <w:r w:rsidRPr="00757A76">
        <w:rPr>
          <w:rFonts w:cstheme="minorHAnsi"/>
          <w:i/>
          <w:iCs/>
        </w:rPr>
        <w:t>Inequality in the Developing World</w:t>
      </w:r>
      <w:r w:rsidRPr="00757A76">
        <w:rPr>
          <w:rFonts w:cstheme="minorHAnsi"/>
        </w:rPr>
        <w:t>, Carlos Gradi, Murray Leibbrandt, and Finn Tarp (eds.), UNU-Wider Studies in Development Economics, Oxford: Oxford University Press, 2021 (</w:t>
      </w:r>
      <w:hyperlink r:id="rId4" w:history="1">
        <w:r w:rsidRPr="00757A76">
          <w:rPr>
            <w:rStyle w:val="Hyperlink"/>
            <w:rFonts w:cstheme="minorHAnsi"/>
          </w:rPr>
          <w:t>https://oxford.universitypressscholarship.com/view/10.1093/oso/9780198863960.001.0001/oso-9780198863960-chapter-12</w:t>
        </w:r>
      </w:hyperlink>
      <w:r w:rsidRPr="00757A76">
        <w:rPr>
          <w:rFonts w:cstheme="minorHAnsi"/>
        </w:rPr>
        <w:t>)</w:t>
      </w:r>
      <w:r w:rsidR="00C21C75">
        <w:rPr>
          <w:rFonts w:cstheme="minorHAnsi"/>
        </w:rPr>
        <w:t>.</w:t>
      </w:r>
    </w:p>
    <w:p w14:paraId="361792D8" w14:textId="77777777" w:rsidR="00C21C75" w:rsidRPr="00757A76" w:rsidRDefault="00C21C75">
      <w:pPr>
        <w:pStyle w:val="FootnoteText"/>
        <w:rPr>
          <w:rFonts w:cstheme="minorHAnsi"/>
        </w:rPr>
      </w:pPr>
    </w:p>
  </w:footnote>
  <w:footnote w:id="15">
    <w:p w14:paraId="655B9161" w14:textId="1A8F669B" w:rsidR="00EE0682" w:rsidRDefault="00EE0682">
      <w:pPr>
        <w:pStyle w:val="FootnoteText"/>
        <w:rPr>
          <w:rFonts w:cstheme="minorHAnsi"/>
        </w:rPr>
      </w:pPr>
      <w:r w:rsidRPr="00757A76">
        <w:rPr>
          <w:rStyle w:val="FootnoteReference"/>
          <w:rFonts w:cstheme="minorHAnsi"/>
        </w:rPr>
        <w:footnoteRef/>
      </w:r>
      <w:r w:rsidRPr="00757A76">
        <w:rPr>
          <w:rFonts w:cstheme="minorHAnsi"/>
        </w:rPr>
        <w:t xml:space="preserve"> The reasons for this are set forth more fully in N. Stern, and J. Stiglitz, “Climate Change and Growth,” </w:t>
      </w:r>
      <w:r w:rsidRPr="00757A76">
        <w:rPr>
          <w:rFonts w:cstheme="minorHAnsi"/>
          <w:u w:val="single"/>
        </w:rPr>
        <w:t>Industrial And Corporate Change</w:t>
      </w:r>
      <w:r w:rsidRPr="00757A76">
        <w:rPr>
          <w:rFonts w:cstheme="minorHAnsi"/>
        </w:rPr>
        <w:t xml:space="preserve"> 32 (2): 277–303, 2023.</w:t>
      </w:r>
    </w:p>
    <w:p w14:paraId="0E9516A0" w14:textId="77777777" w:rsidR="00C21C75" w:rsidRPr="00757A76" w:rsidRDefault="00C21C75">
      <w:pPr>
        <w:pStyle w:val="FootnoteText"/>
        <w:rPr>
          <w:rFonts w:cstheme="minorHAnsi"/>
        </w:rPr>
      </w:pPr>
    </w:p>
  </w:footnote>
  <w:footnote w:id="16">
    <w:p w14:paraId="2B8AB6B0" w14:textId="169F051F" w:rsidR="005B3128" w:rsidRDefault="005B3128">
      <w:pPr>
        <w:pStyle w:val="FootnoteText"/>
        <w:rPr>
          <w:rFonts w:cstheme="minorHAnsi"/>
        </w:rPr>
      </w:pPr>
      <w:r w:rsidRPr="00757A76">
        <w:rPr>
          <w:rStyle w:val="FootnoteReference"/>
          <w:rFonts w:cstheme="minorHAnsi"/>
        </w:rPr>
        <w:footnoteRef/>
      </w:r>
      <w:r w:rsidRPr="00757A76">
        <w:rPr>
          <w:rFonts w:cstheme="minorHAnsi"/>
        </w:rPr>
        <w:t xml:space="preserve"> H.P. Lankes, R. Macquarie, É. Soubeyran, and N. Stern, “The Relationship Between Climate Action and Poverty Reduction,” </w:t>
      </w:r>
      <w:r w:rsidRPr="00757A76">
        <w:rPr>
          <w:rFonts w:cstheme="minorHAnsi"/>
          <w:u w:val="single"/>
        </w:rPr>
        <w:t>The World Bank Research Observer</w:t>
      </w:r>
      <w:r w:rsidRPr="00757A76">
        <w:rPr>
          <w:rFonts w:cstheme="minorHAnsi"/>
        </w:rPr>
        <w:t>, forthcoming.</w:t>
      </w:r>
    </w:p>
    <w:p w14:paraId="3EE611BE" w14:textId="77777777" w:rsidR="00C21C75" w:rsidRPr="00757A76" w:rsidRDefault="00C21C75">
      <w:pPr>
        <w:pStyle w:val="FootnoteText"/>
        <w:rPr>
          <w:rFonts w:cstheme="minorHAnsi"/>
        </w:rPr>
      </w:pPr>
    </w:p>
  </w:footnote>
  <w:footnote w:id="17">
    <w:p w14:paraId="23FC4F0B" w14:textId="72B6C559" w:rsidR="00DD2BAD" w:rsidRPr="00757A76" w:rsidRDefault="00DD2BAD" w:rsidP="005569E3">
      <w:pPr>
        <w:pStyle w:val="FootnoteText"/>
        <w:rPr>
          <w:rFonts w:cstheme="minorHAnsi"/>
        </w:rPr>
      </w:pPr>
      <w:r w:rsidRPr="00757A76">
        <w:rPr>
          <w:rStyle w:val="FootnoteReference"/>
          <w:rFonts w:cstheme="minorHAnsi"/>
        </w:rPr>
        <w:footnoteRef/>
      </w:r>
      <w:r w:rsidRPr="00757A76">
        <w:rPr>
          <w:rFonts w:cstheme="minorHAnsi"/>
        </w:rPr>
        <w:t xml:space="preserve"> </w:t>
      </w:r>
      <w:r w:rsidR="008B594F" w:rsidRPr="00757A76">
        <w:rPr>
          <w:rFonts w:cstheme="minorHAnsi"/>
        </w:rPr>
        <w:t xml:space="preserve">This discussion follows </w:t>
      </w:r>
      <w:r w:rsidRPr="00757A76">
        <w:rPr>
          <w:rFonts w:cstheme="minorHAnsi"/>
        </w:rPr>
        <w:t>V</w:t>
      </w:r>
      <w:r w:rsidR="005569E3" w:rsidRPr="00757A76">
        <w:rPr>
          <w:rFonts w:cstheme="minorHAnsi"/>
        </w:rPr>
        <w:t xml:space="preserve">. </w:t>
      </w:r>
      <w:r w:rsidRPr="00757A76">
        <w:rPr>
          <w:rFonts w:cstheme="minorHAnsi"/>
        </w:rPr>
        <w:t>Songwe, N</w:t>
      </w:r>
      <w:r w:rsidR="005569E3" w:rsidRPr="00757A76">
        <w:rPr>
          <w:rFonts w:cstheme="minorHAnsi"/>
        </w:rPr>
        <w:t xml:space="preserve">. </w:t>
      </w:r>
      <w:r w:rsidRPr="00757A76">
        <w:rPr>
          <w:rFonts w:cstheme="minorHAnsi"/>
        </w:rPr>
        <w:t>Stern and A</w:t>
      </w:r>
      <w:r w:rsidR="005569E3" w:rsidRPr="00757A76">
        <w:rPr>
          <w:rFonts w:cstheme="minorHAnsi"/>
        </w:rPr>
        <w:t xml:space="preserve">. </w:t>
      </w:r>
      <w:r w:rsidRPr="00757A76">
        <w:rPr>
          <w:rFonts w:cstheme="minorHAnsi"/>
        </w:rPr>
        <w:t xml:space="preserve">Bhattacharya, </w:t>
      </w:r>
      <w:r w:rsidRPr="00757A76">
        <w:rPr>
          <w:rFonts w:cstheme="minorHAnsi"/>
          <w:u w:val="single"/>
        </w:rPr>
        <w:t xml:space="preserve">Finance for </w:t>
      </w:r>
      <w:r w:rsidR="005569E3" w:rsidRPr="00757A76">
        <w:rPr>
          <w:rFonts w:cstheme="minorHAnsi"/>
          <w:u w:val="single"/>
        </w:rPr>
        <w:t>C</w:t>
      </w:r>
      <w:r w:rsidRPr="00757A76">
        <w:rPr>
          <w:rFonts w:cstheme="minorHAnsi"/>
          <w:u w:val="single"/>
        </w:rPr>
        <w:t xml:space="preserve">limate </w:t>
      </w:r>
      <w:r w:rsidR="00EE0682" w:rsidRPr="00757A76">
        <w:rPr>
          <w:rFonts w:cstheme="minorHAnsi"/>
          <w:u w:val="single"/>
        </w:rPr>
        <w:t>Action</w:t>
      </w:r>
      <w:r w:rsidRPr="00757A76">
        <w:rPr>
          <w:rFonts w:cstheme="minorHAnsi"/>
          <w:u w:val="single"/>
        </w:rPr>
        <w:t xml:space="preserve">: </w:t>
      </w:r>
      <w:r w:rsidR="005569E3" w:rsidRPr="00757A76">
        <w:rPr>
          <w:rFonts w:cstheme="minorHAnsi"/>
          <w:u w:val="single"/>
        </w:rPr>
        <w:t>S</w:t>
      </w:r>
      <w:r w:rsidRPr="00757A76">
        <w:rPr>
          <w:rFonts w:cstheme="minorHAnsi"/>
          <w:u w:val="single"/>
        </w:rPr>
        <w:t xml:space="preserve">caling up </w:t>
      </w:r>
      <w:r w:rsidR="005569E3" w:rsidRPr="00757A76">
        <w:rPr>
          <w:rFonts w:cstheme="minorHAnsi"/>
          <w:u w:val="single"/>
        </w:rPr>
        <w:t>I</w:t>
      </w:r>
      <w:r w:rsidRPr="00757A76">
        <w:rPr>
          <w:rFonts w:cstheme="minorHAnsi"/>
          <w:u w:val="single"/>
        </w:rPr>
        <w:t xml:space="preserve">nvestment for </w:t>
      </w:r>
      <w:r w:rsidR="005569E3" w:rsidRPr="00757A76">
        <w:rPr>
          <w:rFonts w:cstheme="minorHAnsi"/>
          <w:u w:val="single"/>
        </w:rPr>
        <w:t>C</w:t>
      </w:r>
      <w:r w:rsidRPr="00757A76">
        <w:rPr>
          <w:rFonts w:cstheme="minorHAnsi"/>
          <w:u w:val="single"/>
        </w:rPr>
        <w:t xml:space="preserve">limate and </w:t>
      </w:r>
      <w:r w:rsidR="005569E3" w:rsidRPr="00757A76">
        <w:rPr>
          <w:rFonts w:cstheme="minorHAnsi"/>
          <w:u w:val="single"/>
        </w:rPr>
        <w:t>D</w:t>
      </w:r>
      <w:r w:rsidRPr="00757A76">
        <w:rPr>
          <w:rFonts w:cstheme="minorHAnsi"/>
          <w:u w:val="single"/>
        </w:rPr>
        <w:t>evelopment</w:t>
      </w:r>
      <w:r w:rsidRPr="00757A76">
        <w:rPr>
          <w:rFonts w:cstheme="minorHAnsi"/>
        </w:rPr>
        <w:t>, November 2022</w:t>
      </w:r>
      <w:r w:rsidR="005B3128" w:rsidRPr="00757A76">
        <w:rPr>
          <w:rFonts w:cstheme="minorHAnsi"/>
        </w:rPr>
        <w:t>, and</w:t>
      </w:r>
      <w:r w:rsidR="005569E3" w:rsidRPr="00757A76">
        <w:rPr>
          <w:rFonts w:cstheme="minorHAnsi"/>
        </w:rPr>
        <w:t xml:space="preserve"> N. Stern, and J. Stiglitz</w:t>
      </w:r>
      <w:r w:rsidR="00EE0682" w:rsidRPr="00757A76">
        <w:rPr>
          <w:rFonts w:cstheme="minorHAnsi"/>
        </w:rPr>
        <w:t>,</w:t>
      </w:r>
      <w:r w:rsidR="00EE0682" w:rsidRPr="00757A76">
        <w:rPr>
          <w:rFonts w:cstheme="minorHAnsi"/>
          <w:i/>
          <w:iCs/>
        </w:rPr>
        <w:t>op. cit.</w:t>
      </w:r>
      <w:r w:rsidR="005B3128" w:rsidRPr="00757A76">
        <w:rPr>
          <w:rFonts w:cstheme="minorHAnsi"/>
        </w:rPr>
        <w:t xml:space="preserve"> </w:t>
      </w:r>
    </w:p>
    <w:p w14:paraId="21711C95" w14:textId="77777777" w:rsidR="00DD2BAD" w:rsidRPr="00757A76" w:rsidRDefault="00DD2BAD" w:rsidP="00DD2BAD">
      <w:pPr>
        <w:pStyle w:val="FootnoteText"/>
        <w:rPr>
          <w:rFonts w:cstheme="minorHAnsi"/>
        </w:rPr>
      </w:pPr>
    </w:p>
  </w:footnote>
  <w:footnote w:id="18">
    <w:p w14:paraId="67DFBE89" w14:textId="2A5A9F43" w:rsidR="00C110F7" w:rsidRPr="00757A76" w:rsidRDefault="00C110F7">
      <w:pPr>
        <w:pStyle w:val="FootnoteText"/>
        <w:rPr>
          <w:rFonts w:cstheme="minorHAnsi"/>
        </w:rPr>
      </w:pPr>
      <w:r w:rsidRPr="00757A76">
        <w:rPr>
          <w:rStyle w:val="FootnoteReference"/>
          <w:rFonts w:cstheme="minorHAnsi"/>
        </w:rPr>
        <w:footnoteRef/>
      </w:r>
      <w:r w:rsidRPr="00757A76">
        <w:rPr>
          <w:rFonts w:cstheme="minorHAnsi"/>
        </w:rPr>
        <w:t xml:space="preserve"> V. Songwe, N. Stern and A. Bhattacharya, </w:t>
      </w:r>
      <w:r w:rsidR="00EE0682" w:rsidRPr="00757A76">
        <w:rPr>
          <w:rFonts w:cstheme="minorHAnsi"/>
          <w:i/>
          <w:iCs/>
        </w:rPr>
        <w:t xml:space="preserve">op cit.  </w:t>
      </w:r>
    </w:p>
  </w:footnote>
  <w:footnote w:id="19">
    <w:p w14:paraId="5C36F7B3" w14:textId="2FD12487" w:rsidR="007117D2" w:rsidRPr="00757A76" w:rsidRDefault="007117D2">
      <w:pPr>
        <w:pStyle w:val="FootnoteText"/>
        <w:rPr>
          <w:rFonts w:cstheme="minorHAnsi"/>
        </w:rPr>
      </w:pPr>
      <w:r w:rsidRPr="00757A76">
        <w:rPr>
          <w:rStyle w:val="FootnoteReference"/>
          <w:rFonts w:cstheme="minorHAnsi"/>
        </w:rPr>
        <w:footnoteRef/>
      </w:r>
      <w:r w:rsidRPr="00757A76">
        <w:rPr>
          <w:rFonts w:cstheme="minorHAnsi"/>
        </w:rPr>
        <w:t xml:space="preserve"> Ishac Diwan and Dani Rodrik, “Bridging the Climate-Development Gap,” Project Syndicate, September 26, 2023, </w:t>
      </w:r>
      <w:hyperlink r:id="rId5" w:history="1">
        <w:r w:rsidRPr="00757A76">
          <w:rPr>
            <w:rStyle w:val="Hyperlink"/>
            <w:rFonts w:cstheme="minorHAnsi"/>
          </w:rPr>
          <w:t>https://www.project-syndicate.org/commentary/low-middle-income-countries-debt-development-climate-crisis-by-dani-rodrik-and-ishac-diwan-2023-09</w:t>
        </w:r>
      </w:hyperlink>
      <w:r w:rsidRPr="00757A76">
        <w:rPr>
          <w:rFonts w:cstheme="minorHAnsi"/>
        </w:rPr>
        <w:t xml:space="preserve">. </w:t>
      </w:r>
    </w:p>
    <w:p w14:paraId="68D35022" w14:textId="413F2DE9" w:rsidR="00BC0C10" w:rsidRPr="00757A76" w:rsidRDefault="00BC0C10">
      <w:pPr>
        <w:pStyle w:val="FootnoteText"/>
        <w:rPr>
          <w:rFonts w:cstheme="minorHAnsi"/>
        </w:rPr>
      </w:pPr>
    </w:p>
  </w:footnote>
  <w:footnote w:id="20">
    <w:p w14:paraId="6F5E61FD" w14:textId="54839053" w:rsidR="00BC0C10" w:rsidRDefault="00BC0C10">
      <w:pPr>
        <w:pStyle w:val="FootnoteText"/>
        <w:rPr>
          <w:rFonts w:cstheme="minorHAnsi"/>
        </w:rPr>
      </w:pPr>
      <w:r w:rsidRPr="00757A76">
        <w:rPr>
          <w:rStyle w:val="FootnoteReference"/>
          <w:rFonts w:cstheme="minorHAnsi"/>
        </w:rPr>
        <w:footnoteRef/>
      </w:r>
      <w:r w:rsidRPr="00757A76">
        <w:rPr>
          <w:rFonts w:cstheme="minorHAnsi"/>
        </w:rPr>
        <w:t xml:space="preserve"> This is a transitory increase in output associated with the green investment drive.</w:t>
      </w:r>
      <w:r w:rsidR="00C21C75">
        <w:rPr>
          <w:rFonts w:cstheme="minorHAnsi"/>
        </w:rPr>
        <w:t xml:space="preserve"> </w:t>
      </w:r>
      <w:r w:rsidR="00F309EF">
        <w:rPr>
          <w:rFonts w:cstheme="minorHAnsi"/>
        </w:rPr>
        <w:t>This is a simple supply-side calculation, assu</w:t>
      </w:r>
      <w:r w:rsidR="004A3C04">
        <w:rPr>
          <w:rFonts w:cstheme="minorHAnsi"/>
        </w:rPr>
        <w:t>m</w:t>
      </w:r>
      <w:r w:rsidR="00F309EF">
        <w:rPr>
          <w:rFonts w:cstheme="minorHAnsi"/>
        </w:rPr>
        <w:t>ing</w:t>
      </w:r>
      <w:r w:rsidR="00C21C75">
        <w:rPr>
          <w:rFonts w:cstheme="minorHAnsi"/>
        </w:rPr>
        <w:t xml:space="preserve"> all the additional investment is incremental to the capital stock. In practice, some of it may </w:t>
      </w:r>
      <w:r w:rsidR="00F309EF">
        <w:rPr>
          <w:rFonts w:cstheme="minorHAnsi"/>
        </w:rPr>
        <w:t>go</w:t>
      </w:r>
      <w:r w:rsidR="00C21C75">
        <w:rPr>
          <w:rFonts w:cstheme="minorHAnsi"/>
        </w:rPr>
        <w:t xml:space="preserve"> to replace dirty productive capacity, in which case the incremental </w:t>
      </w:r>
      <w:r w:rsidR="00F309EF">
        <w:rPr>
          <w:rFonts w:cstheme="minorHAnsi"/>
        </w:rPr>
        <w:t xml:space="preserve">supply side </w:t>
      </w:r>
      <w:r w:rsidR="00C21C75">
        <w:rPr>
          <w:rFonts w:cstheme="minorHAnsi"/>
        </w:rPr>
        <w:t xml:space="preserve">effect would be lower. </w:t>
      </w:r>
      <w:r w:rsidR="00F309EF">
        <w:rPr>
          <w:rFonts w:cstheme="minorHAnsi"/>
        </w:rPr>
        <w:t xml:space="preserve">There may be, however, additional demand-side effects, arising from reductions in under-employment and movement of labor from low-productivity to higher-productivity modern activities. This demand-side bonus can boost the growth rate further. </w:t>
      </w:r>
      <w:r w:rsidR="00C21C75">
        <w:rPr>
          <w:rFonts w:cstheme="minorHAnsi"/>
        </w:rPr>
        <w:t xml:space="preserve"> </w:t>
      </w:r>
    </w:p>
    <w:p w14:paraId="0220FD2B" w14:textId="77777777" w:rsidR="00C21C75" w:rsidRPr="00757A76" w:rsidRDefault="00C21C75">
      <w:pPr>
        <w:pStyle w:val="FootnoteText"/>
        <w:rPr>
          <w:rFonts w:cstheme="minorHAnsi"/>
        </w:rPr>
      </w:pPr>
    </w:p>
  </w:footnote>
  <w:footnote w:id="21">
    <w:p w14:paraId="2996C9FB" w14:textId="2A364D84" w:rsidR="00C17AA9" w:rsidRPr="00757A76" w:rsidRDefault="00C17AA9">
      <w:pPr>
        <w:pStyle w:val="FootnoteText"/>
        <w:rPr>
          <w:rFonts w:cstheme="minorHAnsi"/>
        </w:rPr>
      </w:pPr>
      <w:r w:rsidRPr="00757A76">
        <w:rPr>
          <w:rStyle w:val="FootnoteReference"/>
          <w:rFonts w:cstheme="minorHAnsi"/>
        </w:rPr>
        <w:footnoteRef/>
      </w:r>
      <w:r w:rsidRPr="00757A76">
        <w:rPr>
          <w:rFonts w:cstheme="minorHAnsi"/>
        </w:rPr>
        <w:t xml:space="preserve"> </w:t>
      </w:r>
      <w:hyperlink r:id="rId6" w:anchor="tabs-37ea1a9bb0-item-bbefb3d5ca-tab" w:history="1">
        <w:r w:rsidR="00F0796B" w:rsidRPr="00143871">
          <w:rPr>
            <w:rStyle w:val="Hyperlink"/>
            <w:rFonts w:cstheme="minorHAnsi"/>
            <w:shd w:val="clear" w:color="auto" w:fill="FAFAFA"/>
          </w:rPr>
          <w:t>https://live.worldbank.org/en/event/2023/africa-pulse-regional-economic-update-growth-people-better-jobs#tabs-37ea1a9bb0-item-bbefb3d5ca-tab</w:t>
        </w:r>
      </w:hyperlink>
      <w:r w:rsidR="00F0796B">
        <w:rPr>
          <w:rFonts w:cstheme="minorHAnsi"/>
          <w:color w:val="333333"/>
          <w:shd w:val="clear" w:color="auto" w:fill="FAFAFA"/>
        </w:rPr>
        <w:t xml:space="preserve">. </w:t>
      </w:r>
    </w:p>
  </w:footnote>
  <w:footnote w:id="22">
    <w:p w14:paraId="55AA2709" w14:textId="30C83F1D" w:rsidR="00DC252B" w:rsidRPr="00757A76" w:rsidRDefault="00DC252B">
      <w:pPr>
        <w:pStyle w:val="FootnoteText"/>
        <w:rPr>
          <w:rFonts w:cstheme="minorHAnsi"/>
        </w:rPr>
      </w:pPr>
      <w:r w:rsidRPr="00757A76">
        <w:rPr>
          <w:rStyle w:val="FootnoteReference"/>
          <w:rFonts w:cstheme="minorHAnsi"/>
        </w:rPr>
        <w:footnoteRef/>
      </w:r>
      <w:r w:rsidRPr="00757A76">
        <w:rPr>
          <w:rFonts w:cstheme="minorHAnsi"/>
        </w:rPr>
        <w:t xml:space="preserve"> </w:t>
      </w:r>
      <w:hyperlink r:id="rId7" w:history="1">
        <w:r w:rsidRPr="00757A76">
          <w:rPr>
            <w:rStyle w:val="Hyperlink"/>
            <w:rFonts w:cstheme="minorHAnsi"/>
          </w:rPr>
          <w:t>https://www.samagragovernance.in/blog/2019-11-21-how-haryana-is-working-with-cab-aggregators-to-solve-the-unemployment-puzzle/</w:t>
        </w:r>
      </w:hyperlink>
    </w:p>
  </w:footnote>
  <w:footnote w:id="23">
    <w:p w14:paraId="12FEAFA0" w14:textId="46F83265" w:rsidR="00FE123B" w:rsidRPr="00757A76" w:rsidRDefault="00FE123B">
      <w:pPr>
        <w:pStyle w:val="FootnoteText"/>
        <w:rPr>
          <w:rFonts w:cstheme="minorHAnsi"/>
        </w:rPr>
      </w:pPr>
      <w:r w:rsidRPr="00757A76">
        <w:rPr>
          <w:rStyle w:val="FootnoteReference"/>
          <w:rFonts w:cstheme="minorHAnsi"/>
        </w:rPr>
        <w:footnoteRef/>
      </w:r>
      <w:r w:rsidRPr="00757A76">
        <w:rPr>
          <w:rFonts w:cstheme="minorHAnsi"/>
        </w:rPr>
        <w:t xml:space="preserve"> </w:t>
      </w:r>
      <w:hyperlink r:id="rId8" w:history="1">
        <w:r w:rsidRPr="00757A76">
          <w:rPr>
            <w:rStyle w:val="Hyperlink"/>
            <w:rFonts w:cstheme="minorHAnsi"/>
          </w:rPr>
          <w:t>https://openknowledge.worldbank.org/entities/publication/6fade0af-26aa-59cb-8de0-167fe290fa67</w:t>
        </w:r>
      </w:hyperlink>
    </w:p>
    <w:p w14:paraId="3140DFF4" w14:textId="77777777" w:rsidR="00FE123B" w:rsidRPr="00757A76" w:rsidRDefault="00FE123B">
      <w:pPr>
        <w:pStyle w:val="FootnoteText"/>
        <w:rPr>
          <w:rFonts w:cstheme="minorHAnsi"/>
        </w:rPr>
      </w:pPr>
    </w:p>
  </w:footnote>
  <w:footnote w:id="24">
    <w:p w14:paraId="7DA21F41" w14:textId="43D1BE45" w:rsidR="005F102C" w:rsidRDefault="005F102C" w:rsidP="005F102C">
      <w:pPr>
        <w:pStyle w:val="FootnoteText"/>
        <w:rPr>
          <w:rFonts w:eastAsia="Times New Roman" w:cstheme="minorHAnsi"/>
          <w:color w:val="000000"/>
        </w:rPr>
      </w:pPr>
      <w:r w:rsidRPr="00757A76">
        <w:rPr>
          <w:rStyle w:val="FootnoteReference"/>
          <w:rFonts w:cstheme="minorHAnsi"/>
        </w:rPr>
        <w:footnoteRef/>
      </w:r>
      <w:r w:rsidRPr="00757A76">
        <w:rPr>
          <w:rFonts w:cstheme="minorHAnsi"/>
        </w:rPr>
        <w:t xml:space="preserve"> </w:t>
      </w:r>
      <w:r w:rsidR="00572154" w:rsidRPr="00757A76">
        <w:rPr>
          <w:rFonts w:cstheme="minorHAnsi"/>
        </w:rPr>
        <w:t xml:space="preserve">See Daron Acemoglu, “The Wrong Kind of AI? Artificial Intelligence and the Future of Labor Demand.” </w:t>
      </w:r>
      <w:r w:rsidR="00572154" w:rsidRPr="00757A76">
        <w:rPr>
          <w:rFonts w:cstheme="minorHAnsi"/>
          <w:i/>
        </w:rPr>
        <w:t>Cambridge Journal of Regions, Economy and Society,</w:t>
      </w:r>
      <w:r w:rsidR="00572154" w:rsidRPr="00757A76">
        <w:rPr>
          <w:rFonts w:cstheme="minorHAnsi"/>
        </w:rPr>
        <w:t xml:space="preserve"> 2019; Daron Acemoglu, </w:t>
      </w:r>
      <w:r w:rsidR="00572154" w:rsidRPr="00757A76">
        <w:rPr>
          <w:rFonts w:cstheme="minorHAnsi"/>
          <w:lang w:val="es-MX"/>
        </w:rPr>
        <w:t>“</w:t>
      </w:r>
      <w:r w:rsidR="00572154" w:rsidRPr="00757A76">
        <w:rPr>
          <w:rFonts w:cstheme="minorHAnsi"/>
        </w:rPr>
        <w:t xml:space="preserve">AI’s Future Doesn’t Have to Be Dystopian,” </w:t>
      </w:r>
      <w:r w:rsidR="00572154" w:rsidRPr="00757A76">
        <w:rPr>
          <w:rFonts w:cstheme="minorHAnsi"/>
          <w:i/>
        </w:rPr>
        <w:t>Boston Review,</w:t>
      </w:r>
      <w:r w:rsidR="00572154" w:rsidRPr="00757A76">
        <w:rPr>
          <w:rFonts w:cstheme="minorHAnsi"/>
        </w:rPr>
        <w:t xml:space="preserve"> May 20, 2021.</w:t>
      </w:r>
      <w:r w:rsidR="00D91339" w:rsidRPr="00757A76">
        <w:rPr>
          <w:rFonts w:cstheme="minorHAnsi"/>
        </w:rPr>
        <w:t xml:space="preserve">  For a broader discussion of the direction of innovation and its implications for development</w:t>
      </w:r>
      <w:r w:rsidR="00F80E4F" w:rsidRPr="00757A76">
        <w:rPr>
          <w:rFonts w:cstheme="minorHAnsi"/>
        </w:rPr>
        <w:t>, see</w:t>
      </w:r>
      <w:r w:rsidR="00D91339" w:rsidRPr="00757A76">
        <w:rPr>
          <w:rFonts w:cstheme="minorHAnsi"/>
        </w:rPr>
        <w:t xml:space="preserve"> </w:t>
      </w:r>
      <w:r w:rsidR="00D91339" w:rsidRPr="009A430A">
        <w:rPr>
          <w:rFonts w:eastAsia="Times New Roman" w:cstheme="minorHAnsi"/>
          <w:color w:val="000000"/>
        </w:rPr>
        <w:t>Anton Korinek, Martin Schindler, and J. E. Stiglitz, “Technological Progress and Artific</w:t>
      </w:r>
      <w:r w:rsidR="004A3C04">
        <w:rPr>
          <w:rFonts w:eastAsia="Times New Roman" w:cstheme="minorHAnsi"/>
          <w:color w:val="000000"/>
        </w:rPr>
        <w:t>i</w:t>
      </w:r>
      <w:r w:rsidR="00D91339" w:rsidRPr="009A430A">
        <w:rPr>
          <w:rFonts w:eastAsia="Times New Roman" w:cstheme="minorHAnsi"/>
          <w:color w:val="000000"/>
        </w:rPr>
        <w:t xml:space="preserve">al Intelligence,” in </w:t>
      </w:r>
      <w:r w:rsidR="00D91339" w:rsidRPr="009A430A">
        <w:rPr>
          <w:rFonts w:eastAsia="Times New Roman" w:cstheme="minorHAnsi"/>
          <w:i/>
          <w:color w:val="000000"/>
        </w:rPr>
        <w:t>How to Achieve Inclusive Growth</w:t>
      </w:r>
      <w:r w:rsidR="00D91339" w:rsidRPr="009A430A">
        <w:rPr>
          <w:rFonts w:eastAsia="Times New Roman" w:cstheme="minorHAnsi"/>
          <w:color w:val="000000"/>
        </w:rPr>
        <w:t>, Valerie Cerra, Barry Eichengreen, Asmaa El-Ganainy and Martin Schindler (eds.), Oxford: Oxford University Press, 2021.</w:t>
      </w:r>
    </w:p>
    <w:p w14:paraId="68D55522" w14:textId="77777777" w:rsidR="00F0796B" w:rsidRPr="00757A76" w:rsidRDefault="00F0796B" w:rsidP="005F102C">
      <w:pPr>
        <w:pStyle w:val="FootnoteText"/>
        <w:rPr>
          <w:rFonts w:cstheme="minorHAnsi"/>
        </w:rPr>
      </w:pPr>
    </w:p>
  </w:footnote>
  <w:footnote w:id="25">
    <w:p w14:paraId="7A7EF430" w14:textId="2A2DBD35" w:rsidR="00D91339" w:rsidRPr="00DF5F8D" w:rsidRDefault="00D91339">
      <w:pPr>
        <w:pStyle w:val="FootnoteText"/>
        <w:rPr>
          <w:rFonts w:eastAsia="Times New Roman" w:cstheme="minorHAnsi"/>
          <w:color w:val="000000"/>
        </w:rPr>
      </w:pPr>
      <w:r w:rsidRPr="00757A76">
        <w:rPr>
          <w:rStyle w:val="FootnoteReference"/>
          <w:rFonts w:cstheme="minorHAnsi"/>
        </w:rPr>
        <w:footnoteRef/>
      </w:r>
      <w:r w:rsidRPr="00757A76">
        <w:rPr>
          <w:rFonts w:cstheme="minorHAnsi"/>
        </w:rPr>
        <w:t xml:space="preserve"> See </w:t>
      </w:r>
      <w:r w:rsidRPr="00DF5F8D">
        <w:rPr>
          <w:rFonts w:eastAsia="Times New Roman" w:cstheme="minorHAnsi"/>
          <w:color w:val="000000"/>
        </w:rPr>
        <w:t xml:space="preserve">Anton Korinek  and J. E. Stiglitz, “Artificial Intelligence and Its Implications for Income Distribution and Unemployment,”  in </w:t>
      </w:r>
      <w:r w:rsidRPr="00DF5F8D">
        <w:rPr>
          <w:rFonts w:eastAsia="Times New Roman" w:cstheme="minorHAnsi"/>
          <w:i/>
          <w:color w:val="000000"/>
        </w:rPr>
        <w:t>The Economics of Artificial Intelligence: An Agenda</w:t>
      </w:r>
      <w:r w:rsidRPr="00DF5F8D">
        <w:rPr>
          <w:rFonts w:eastAsia="Times New Roman" w:cstheme="minorHAnsi"/>
          <w:color w:val="000000"/>
        </w:rPr>
        <w:t>, Ajay Agrawal, Joshua Gans, and Avi Goldfarb (eds.), NBER/University of Chicago Press, 2019, pp. 349-390</w:t>
      </w:r>
      <w:r w:rsidR="004D0D18" w:rsidRPr="00DF5F8D">
        <w:rPr>
          <w:rFonts w:eastAsia="Times New Roman" w:cstheme="minorHAnsi"/>
          <w:color w:val="000000"/>
        </w:rPr>
        <w:t>.</w:t>
      </w:r>
    </w:p>
    <w:p w14:paraId="128CA7AC" w14:textId="77777777" w:rsidR="004D0D18" w:rsidRPr="00757A76" w:rsidRDefault="004D0D18">
      <w:pPr>
        <w:pStyle w:val="FootnoteText"/>
        <w:rPr>
          <w:rFonts w:cstheme="minorHAnsi"/>
        </w:rPr>
      </w:pPr>
    </w:p>
  </w:footnote>
  <w:footnote w:id="26">
    <w:p w14:paraId="77447615" w14:textId="5AF68832" w:rsidR="00AF0A69" w:rsidRDefault="00AF0A69">
      <w:pPr>
        <w:pStyle w:val="FootnoteText"/>
        <w:rPr>
          <w:rFonts w:cstheme="minorHAnsi"/>
        </w:rPr>
      </w:pPr>
      <w:r w:rsidRPr="00757A76">
        <w:rPr>
          <w:rStyle w:val="FootnoteReference"/>
          <w:rFonts w:cstheme="minorHAnsi"/>
        </w:rPr>
        <w:footnoteRef/>
      </w:r>
      <w:r w:rsidRPr="00757A76">
        <w:rPr>
          <w:rFonts w:cstheme="minorHAnsi"/>
        </w:rPr>
        <w:t xml:space="preserve"> For these and other examples, see</w:t>
      </w:r>
      <w:r w:rsidR="00572154" w:rsidRPr="00757A76">
        <w:rPr>
          <w:rFonts w:cstheme="minorHAnsi"/>
        </w:rPr>
        <w:t xml:space="preserve"> the articles by Acemoglu cited above, and also: </w:t>
      </w:r>
      <w:r w:rsidRPr="00757A76">
        <w:rPr>
          <w:rFonts w:cstheme="minorHAnsi"/>
        </w:rPr>
        <w:t xml:space="preserve">Dani Rodrik, “An Industrial Policy for Good Jobs,” The Hamilton Project, September 2022; </w:t>
      </w:r>
      <w:r w:rsidR="00994F5A" w:rsidRPr="00757A76">
        <w:rPr>
          <w:rFonts w:cstheme="minorHAnsi"/>
        </w:rPr>
        <w:t>Michael Kremer et al., “Is Development Economics a Good Investment? Evidence on scaling rate and social returns from USAID’s innovation fund, March 2021; Zeynep</w:t>
      </w:r>
      <w:r w:rsidR="00994F5A" w:rsidRPr="00757A76">
        <w:rPr>
          <w:rFonts w:cstheme="minorHAnsi"/>
          <w:b/>
          <w:bCs/>
        </w:rPr>
        <w:t xml:space="preserve"> </w:t>
      </w:r>
      <w:r w:rsidRPr="00757A76">
        <w:rPr>
          <w:rFonts w:cstheme="minorHAnsi"/>
        </w:rPr>
        <w:t xml:space="preserve">Ton, </w:t>
      </w:r>
      <w:r w:rsidRPr="00757A76">
        <w:rPr>
          <w:rFonts w:cstheme="minorHAnsi"/>
          <w:i/>
          <w:iCs/>
        </w:rPr>
        <w:t>The Case for Good Jobs</w:t>
      </w:r>
      <w:r w:rsidRPr="00757A76">
        <w:rPr>
          <w:rFonts w:cstheme="minorHAnsi"/>
        </w:rPr>
        <w:t>, Harvard Business School Press, 2023; Erik Brynjolfsson, Danielle Li, and Lindsey R. Raymond, “Generative AI At Work,” NBER Working Paper No. 31161, November 2023.</w:t>
      </w:r>
    </w:p>
    <w:p w14:paraId="4C89E500" w14:textId="77777777" w:rsidR="009A430A" w:rsidRPr="00757A76" w:rsidRDefault="009A430A">
      <w:pPr>
        <w:pStyle w:val="FootnoteText"/>
        <w:rPr>
          <w:rFonts w:cstheme="minorHAnsi"/>
        </w:rPr>
      </w:pPr>
    </w:p>
  </w:footnote>
  <w:footnote w:id="27">
    <w:p w14:paraId="78514B26" w14:textId="34951C03" w:rsidR="00F80E4F" w:rsidRDefault="00DD5A2D">
      <w:pPr>
        <w:pStyle w:val="FootnoteText"/>
        <w:rPr>
          <w:rFonts w:eastAsia="Times New Roman" w:cstheme="minorHAnsi"/>
        </w:rPr>
      </w:pPr>
      <w:r w:rsidRPr="00757A76">
        <w:rPr>
          <w:rStyle w:val="FootnoteReference"/>
          <w:rFonts w:cstheme="minorHAnsi"/>
        </w:rPr>
        <w:footnoteRef/>
      </w:r>
      <w:r w:rsidRPr="00757A76">
        <w:rPr>
          <w:rFonts w:cstheme="minorHAnsi"/>
        </w:rPr>
        <w:t xml:space="preserve"> With</w:t>
      </w:r>
      <w:r w:rsidR="004C20B0" w:rsidRPr="00757A76">
        <w:rPr>
          <w:rFonts w:cstheme="minorHAnsi"/>
        </w:rPr>
        <w:t>in</w:t>
      </w:r>
      <w:r w:rsidRPr="00757A76">
        <w:rPr>
          <w:rFonts w:cstheme="minorHAnsi"/>
        </w:rPr>
        <w:t xml:space="preserve"> the standard market failures paradigm, there are a host of failures related to the pace and direction of innovation.  See, e.g. J.E. Stiglitz and Bruce Greenwald, </w:t>
      </w:r>
      <w:r w:rsidR="000A38E9" w:rsidRPr="00DF5F8D">
        <w:rPr>
          <w:rFonts w:eastAsia="Times New Roman" w:cstheme="minorHAnsi"/>
          <w:i/>
        </w:rPr>
        <w:t>Creating a Learning Society: A New Approach to Growth, Development, and Social Progress</w:t>
      </w:r>
      <w:r w:rsidR="000A38E9" w:rsidRPr="00DF5F8D">
        <w:rPr>
          <w:rFonts w:eastAsia="Times New Roman" w:cstheme="minorHAnsi"/>
        </w:rPr>
        <w:t xml:space="preserve">, New York: Columbia University Press, 2014. Reader’s Edition </w:t>
      </w:r>
      <w:r w:rsidR="000A38E9" w:rsidRPr="009A430A">
        <w:rPr>
          <w:rFonts w:eastAsia="Times New Roman" w:cstheme="minorHAnsi"/>
        </w:rPr>
        <w:t>published 2015</w:t>
      </w:r>
      <w:r w:rsidR="00F80E4F" w:rsidRPr="00757A76">
        <w:rPr>
          <w:rFonts w:eastAsia="Times New Roman" w:cstheme="minorHAnsi"/>
        </w:rPr>
        <w:t>.</w:t>
      </w:r>
    </w:p>
    <w:p w14:paraId="0CF50D53" w14:textId="77777777" w:rsidR="009A430A" w:rsidRPr="00757A76" w:rsidRDefault="009A430A">
      <w:pPr>
        <w:pStyle w:val="FootnoteText"/>
        <w:rPr>
          <w:rFonts w:cstheme="minorHAnsi"/>
        </w:rPr>
      </w:pPr>
    </w:p>
  </w:footnote>
  <w:footnote w:id="28">
    <w:p w14:paraId="5EA736FF" w14:textId="2AC7C755" w:rsidR="00B86BAD" w:rsidRPr="00757A76" w:rsidRDefault="00B86BAD">
      <w:pPr>
        <w:pStyle w:val="FootnoteText"/>
        <w:rPr>
          <w:rFonts w:cstheme="minorHAnsi"/>
        </w:rPr>
      </w:pPr>
      <w:r w:rsidRPr="00757A76">
        <w:rPr>
          <w:rStyle w:val="FootnoteReference"/>
          <w:rFonts w:cstheme="minorHAnsi"/>
        </w:rPr>
        <w:footnoteRef/>
      </w:r>
      <w:r w:rsidRPr="00757A76">
        <w:rPr>
          <w:rFonts w:cstheme="minorHAnsi"/>
        </w:rPr>
        <w:t xml:space="preserve"> Josh Lerner, Junxi Liu, Jacob Moscona, and David Yang. “Appropriate Entrepreneurship? The Rise of Chinese Venture Capital and the Developing World,” Harvard University, 2023, in process. </w:t>
      </w:r>
    </w:p>
    <w:p w14:paraId="70F6ACEF" w14:textId="77777777" w:rsidR="00F80E4F" w:rsidRPr="00757A76" w:rsidRDefault="00F80E4F">
      <w:pPr>
        <w:pStyle w:val="FootnoteText"/>
        <w:rPr>
          <w:rFonts w:cstheme="minorHAnsi"/>
        </w:rPr>
      </w:pPr>
    </w:p>
  </w:footnote>
  <w:footnote w:id="29">
    <w:p w14:paraId="7F08895C" w14:textId="4C83A877" w:rsidR="009A430A" w:rsidRDefault="009A430A">
      <w:pPr>
        <w:pStyle w:val="FootnoteText"/>
      </w:pPr>
      <w:r>
        <w:rPr>
          <w:rStyle w:val="FootnoteReference"/>
        </w:rPr>
        <w:footnoteRef/>
      </w:r>
      <w:r>
        <w:t xml:space="preserve"> This fact is reflected in the finding that formal manufacturing sectors have long exhibited </w:t>
      </w:r>
      <w:r w:rsidRPr="007A532C">
        <w:rPr>
          <w:u w:val="single"/>
        </w:rPr>
        <w:t>unconditional</w:t>
      </w:r>
      <w:r>
        <w:t xml:space="preserve"> convergence in labor productivity. That is, these sectors tend to catch up to the </w:t>
      </w:r>
      <w:r w:rsidR="00660EC3">
        <w:t xml:space="preserve">global </w:t>
      </w:r>
      <w:r>
        <w:t xml:space="preserve">productivity frontier regardless of local conditions, such as the quality of institutions or human capital. This has not been a </w:t>
      </w:r>
      <w:r w:rsidR="00660EC3">
        <w:t xml:space="preserve">regular </w:t>
      </w:r>
      <w:r>
        <w:t xml:space="preserve">feature of the rest of the economy (traditional agriculture and most services). See </w:t>
      </w:r>
      <w:r w:rsidR="00660EC3">
        <w:t xml:space="preserve">D. Rodrik, </w:t>
      </w:r>
      <w:r w:rsidR="00660EC3" w:rsidRPr="00660EC3">
        <w:t xml:space="preserve">“Unconditional Convergence in Manufacturing,” </w:t>
      </w:r>
      <w:r w:rsidR="00660EC3" w:rsidRPr="00660EC3">
        <w:rPr>
          <w:u w:val="single"/>
        </w:rPr>
        <w:t>Quarterly Journal of Economics</w:t>
      </w:r>
      <w:r w:rsidR="00660EC3" w:rsidRPr="00660EC3">
        <w:t xml:space="preserve">, </w:t>
      </w:r>
      <w:r w:rsidR="00660EC3" w:rsidRPr="00660EC3">
        <w:rPr>
          <w:iCs/>
        </w:rPr>
        <w:t>128 (1), February 2013, 165-204.</w:t>
      </w:r>
    </w:p>
    <w:p w14:paraId="41DCEA8F" w14:textId="77777777" w:rsidR="009A430A" w:rsidRDefault="009A430A">
      <w:pPr>
        <w:pStyle w:val="FootnoteText"/>
      </w:pPr>
    </w:p>
  </w:footnote>
  <w:footnote w:id="30">
    <w:p w14:paraId="4A157AD8" w14:textId="67F48D06" w:rsidR="00472F09" w:rsidRPr="00757A76" w:rsidRDefault="00472F09">
      <w:pPr>
        <w:pStyle w:val="FootnoteText"/>
        <w:rPr>
          <w:rFonts w:cstheme="minorHAnsi"/>
        </w:rPr>
      </w:pPr>
      <w:r w:rsidRPr="00757A76">
        <w:rPr>
          <w:rStyle w:val="FootnoteReference"/>
          <w:rFonts w:cstheme="minorHAnsi"/>
        </w:rPr>
        <w:footnoteRef/>
      </w:r>
      <w:r w:rsidRPr="00757A76">
        <w:rPr>
          <w:rFonts w:cstheme="minorHAnsi"/>
        </w:rPr>
        <w:t xml:space="preserve"> Moreover, “Baumol’s disease” contends that the pace of innovation—the movement of the frontier itself—will be lower in services.  </w:t>
      </w:r>
    </w:p>
  </w:footnote>
  <w:footnote w:id="31">
    <w:p w14:paraId="270CEE32" w14:textId="51CA8D70" w:rsidR="00895EFC" w:rsidRPr="00757A76" w:rsidRDefault="0060436E" w:rsidP="00A64699">
      <w:pPr>
        <w:rPr>
          <w:rFonts w:cstheme="minorHAnsi"/>
        </w:rPr>
      </w:pPr>
      <w:r w:rsidRPr="00757A76">
        <w:rPr>
          <w:rStyle w:val="FootnoteReference"/>
          <w:rFonts w:cstheme="minorHAnsi"/>
          <w:sz w:val="20"/>
          <w:szCs w:val="20"/>
        </w:rPr>
        <w:footnoteRef/>
      </w:r>
      <w:r w:rsidRPr="00757A76">
        <w:rPr>
          <w:rFonts w:cstheme="minorHAnsi"/>
          <w:sz w:val="20"/>
          <w:szCs w:val="20"/>
        </w:rPr>
        <w:t xml:space="preserve"> The implementation of such interventions faces important impediments in the presence of uncertainties and asymmetries of information.  There is a large literature on the design of optimal schemes in such </w:t>
      </w:r>
      <w:r w:rsidR="00A312B1" w:rsidRPr="00757A76">
        <w:rPr>
          <w:rFonts w:cstheme="minorHAnsi"/>
          <w:sz w:val="20"/>
          <w:szCs w:val="20"/>
        </w:rPr>
        <w:t xml:space="preserve">circumstances.  When there are multiple market failures, as is the case in practice, there cannot just be a reliance on Pigouvian subsidies.  See the next footnote and J. E. Stiglitz, </w:t>
      </w:r>
      <w:bookmarkStart w:id="2" w:name="_Hlk105079052"/>
      <w:r w:rsidR="00A312B1" w:rsidRPr="00757A76">
        <w:rPr>
          <w:rFonts w:eastAsia="Times New Roman" w:cstheme="minorHAnsi"/>
          <w:color w:val="000000"/>
          <w:sz w:val="20"/>
          <w:szCs w:val="20"/>
        </w:rPr>
        <w:t xml:space="preserve">“Addressing Climate Change Through Price and Non-Price Interventions,” </w:t>
      </w:r>
      <w:r w:rsidR="00A312B1" w:rsidRPr="00757A76">
        <w:rPr>
          <w:rFonts w:eastAsia="Times New Roman" w:cstheme="minorHAnsi"/>
          <w:i/>
          <w:color w:val="000000"/>
          <w:sz w:val="20"/>
          <w:szCs w:val="20"/>
        </w:rPr>
        <w:t>European Economic Review, Vol. 119, pp. 594-612, October 2019.</w:t>
      </w:r>
      <w:r w:rsidR="00A312B1" w:rsidRPr="00757A76">
        <w:rPr>
          <w:rFonts w:eastAsia="Times New Roman" w:cstheme="minorHAnsi"/>
          <w:color w:val="000000"/>
          <w:sz w:val="20"/>
          <w:szCs w:val="20"/>
        </w:rPr>
        <w:t xml:space="preserve"> Accessible at: </w:t>
      </w:r>
      <w:hyperlink r:id="rId9" w:history="1">
        <w:r w:rsidR="00A312B1" w:rsidRPr="00757A76">
          <w:rPr>
            <w:rStyle w:val="Hyperlink"/>
            <w:rFonts w:eastAsia="Times New Roman" w:cstheme="minorHAnsi"/>
            <w:color w:val="0000FF"/>
            <w:sz w:val="20"/>
            <w:szCs w:val="20"/>
          </w:rPr>
          <w:t>https://www.sciencedirect.com/science/article/pii/S001429211930090X?dgcid=author</w:t>
        </w:r>
      </w:hyperlink>
      <w:bookmarkEnd w:id="2"/>
      <w:r w:rsidR="00DF5F8D">
        <w:rPr>
          <w:rFonts w:cstheme="minorHAnsi"/>
          <w:sz w:val="20"/>
          <w:szCs w:val="20"/>
        </w:rPr>
        <w:t>.</w:t>
      </w:r>
    </w:p>
  </w:footnote>
  <w:footnote w:id="32">
    <w:p w14:paraId="1096D82F" w14:textId="2E89AB3D" w:rsidR="004204B3" w:rsidRPr="00757A76" w:rsidRDefault="004204B3">
      <w:pPr>
        <w:pStyle w:val="FootnoteText"/>
        <w:rPr>
          <w:rFonts w:cstheme="minorHAnsi"/>
        </w:rPr>
      </w:pPr>
      <w:r w:rsidRPr="00757A76">
        <w:rPr>
          <w:rStyle w:val="FootnoteReference"/>
          <w:rFonts w:cstheme="minorHAnsi"/>
        </w:rPr>
        <w:footnoteRef/>
      </w:r>
      <w:r w:rsidRPr="00757A76">
        <w:rPr>
          <w:rFonts w:cstheme="minorHAnsi"/>
        </w:rPr>
        <w:t xml:space="preserve"> Martin Weitzman showed that quantity targets may dominate Pigo</w:t>
      </w:r>
      <w:r w:rsidR="00036078" w:rsidRPr="00757A76">
        <w:rPr>
          <w:rFonts w:cstheme="minorHAnsi"/>
        </w:rPr>
        <w:t>u</w:t>
      </w:r>
      <w:r w:rsidRPr="00757A76">
        <w:rPr>
          <w:rFonts w:cstheme="minorHAnsi"/>
        </w:rPr>
        <w:t>vian price instruments in the presence of uncertainty about demand and supply elasticities. The price instrument may minimize the efficiency costs of the policy, but risks undershooting and producing too small a behavioral response. Quantity targets may be superior when the social costs of missing the socially optimal target—reducing greenhouse emissions for example – are higher than the deadweight costs that may otherwise be created. Martin L. Weitzman, “</w:t>
      </w:r>
      <w:hyperlink r:id="rId10" w:history="1">
        <w:r w:rsidRPr="00757A76">
          <w:rPr>
            <w:rFonts w:cstheme="minorHAnsi"/>
          </w:rPr>
          <w:t>Prices vs. Quantities</w:t>
        </w:r>
      </w:hyperlink>
      <w:r w:rsidRPr="00757A76">
        <w:rPr>
          <w:rFonts w:cstheme="minorHAnsi"/>
        </w:rPr>
        <w:t xml:space="preserve">,” </w:t>
      </w:r>
      <w:r w:rsidRPr="00757A76">
        <w:rPr>
          <w:rFonts w:cstheme="minorHAnsi"/>
          <w:i/>
          <w:iCs/>
        </w:rPr>
        <w:t>The Review of Economic Studies</w:t>
      </w:r>
      <w:r w:rsidRPr="00757A76">
        <w:rPr>
          <w:rFonts w:cstheme="minorHAnsi"/>
        </w:rPr>
        <w:t xml:space="preserve">, 41(4), October 1974, pp. 477-491. </w:t>
      </w:r>
      <w:r w:rsidR="00036078" w:rsidRPr="00757A76">
        <w:rPr>
          <w:rFonts w:cstheme="minorHAnsi"/>
        </w:rPr>
        <w:t xml:space="preserve">More generally, non-linear interventions </w:t>
      </w:r>
      <w:r w:rsidR="0060436E" w:rsidRPr="00757A76">
        <w:rPr>
          <w:rFonts w:cstheme="minorHAnsi"/>
        </w:rPr>
        <w:t>are preferable to either of the two extremes.  In some contexts, governments actually implement such schemes.</w:t>
      </w:r>
    </w:p>
  </w:footnote>
  <w:footnote w:id="33">
    <w:p w14:paraId="571FBE5C" w14:textId="0BAF75FE" w:rsidR="00C509CD" w:rsidRDefault="00C509CD" w:rsidP="00C509CD">
      <w:pPr>
        <w:pStyle w:val="FootnoteText"/>
        <w:rPr>
          <w:rFonts w:cstheme="minorHAnsi"/>
        </w:rPr>
      </w:pPr>
      <w:r w:rsidRPr="00757A76">
        <w:rPr>
          <w:rStyle w:val="FootnoteReference"/>
          <w:rFonts w:cstheme="minorHAnsi"/>
        </w:rPr>
        <w:footnoteRef/>
      </w:r>
      <w:r w:rsidRPr="00757A76">
        <w:rPr>
          <w:rFonts w:cstheme="minorHAnsi"/>
        </w:rPr>
        <w:t xml:space="preserve"> </w:t>
      </w:r>
      <w:r w:rsidR="00A312B1" w:rsidRPr="00757A76">
        <w:rPr>
          <w:rFonts w:cstheme="minorHAnsi"/>
        </w:rPr>
        <w:t xml:space="preserve">See Greenwald and Stiglitz, </w:t>
      </w:r>
      <w:r w:rsidR="00A312B1" w:rsidRPr="00757A76">
        <w:rPr>
          <w:rFonts w:cstheme="minorHAnsi"/>
          <w:i/>
          <w:iCs/>
        </w:rPr>
        <w:t xml:space="preserve">op. cit.  </w:t>
      </w:r>
      <w:r w:rsidR="00BC11B0" w:rsidRPr="00757A76">
        <w:rPr>
          <w:rFonts w:cstheme="minorHAnsi"/>
        </w:rPr>
        <w:t xml:space="preserve">A recent overview of the evidence on industrial policy is provided in R. Jukasz, N. Lane, and D. Rodrik, “The New Economics of Industrial Policy”, </w:t>
      </w:r>
      <w:r w:rsidR="00BC11B0" w:rsidRPr="00757A76">
        <w:rPr>
          <w:rFonts w:cstheme="minorHAnsi"/>
          <w:u w:val="single"/>
        </w:rPr>
        <w:t>Annual Review of Economics</w:t>
      </w:r>
      <w:r w:rsidR="00BC11B0" w:rsidRPr="00757A76">
        <w:rPr>
          <w:rFonts w:cstheme="minorHAnsi"/>
        </w:rPr>
        <w:t xml:space="preserve">, 2024, forthcoming.  </w:t>
      </w:r>
      <w:r w:rsidRPr="00757A76">
        <w:rPr>
          <w:rFonts w:cstheme="minorHAnsi"/>
        </w:rPr>
        <w:t> </w:t>
      </w:r>
    </w:p>
    <w:p w14:paraId="06E9C8D7" w14:textId="77777777" w:rsidR="00A64699" w:rsidRPr="00757A76" w:rsidRDefault="00A64699" w:rsidP="00C509CD">
      <w:pPr>
        <w:pStyle w:val="FootnoteText"/>
        <w:rPr>
          <w:rFonts w:cstheme="minorHAnsi"/>
        </w:rPr>
      </w:pPr>
    </w:p>
  </w:footnote>
  <w:footnote w:id="34">
    <w:p w14:paraId="3C54DEE4" w14:textId="66B5CFA5" w:rsidR="00E4449D" w:rsidRDefault="00E4449D" w:rsidP="000D11A7">
      <w:pPr>
        <w:spacing w:after="0" w:line="240" w:lineRule="auto"/>
        <w:rPr>
          <w:rFonts w:eastAsia="Times New Roman" w:cstheme="minorHAnsi"/>
          <w:color w:val="000000"/>
          <w:sz w:val="20"/>
          <w:szCs w:val="20"/>
        </w:rPr>
      </w:pPr>
      <w:r w:rsidRPr="00757A76">
        <w:rPr>
          <w:rStyle w:val="FootnoteReference"/>
          <w:rFonts w:cstheme="minorHAnsi"/>
          <w:sz w:val="20"/>
          <w:szCs w:val="20"/>
        </w:rPr>
        <w:footnoteRef/>
      </w:r>
      <w:r w:rsidRPr="00757A76">
        <w:rPr>
          <w:rFonts w:cstheme="minorHAnsi"/>
          <w:sz w:val="20"/>
          <w:szCs w:val="20"/>
        </w:rPr>
        <w:t xml:space="preserve"> P.B. Evans, </w:t>
      </w:r>
      <w:r w:rsidRPr="00757A76">
        <w:rPr>
          <w:rFonts w:cstheme="minorHAnsi"/>
          <w:sz w:val="20"/>
          <w:szCs w:val="20"/>
          <w:u w:val="single"/>
        </w:rPr>
        <w:t>Embedded Autonomy: States and Industrial Transformation</w:t>
      </w:r>
      <w:r w:rsidRPr="00757A76">
        <w:rPr>
          <w:rFonts w:cstheme="minorHAnsi"/>
          <w:sz w:val="20"/>
          <w:szCs w:val="20"/>
        </w:rPr>
        <w:t>, Princeton, NJ: Princeton University Press, 1995.</w:t>
      </w:r>
      <w:r w:rsidR="00DF5F8D">
        <w:rPr>
          <w:rFonts w:cstheme="minorHAnsi"/>
          <w:sz w:val="20"/>
          <w:szCs w:val="20"/>
        </w:rPr>
        <w:t xml:space="preserve"> </w:t>
      </w:r>
      <w:r w:rsidR="00C24DE2" w:rsidRPr="00757A76">
        <w:rPr>
          <w:rFonts w:cstheme="minorHAnsi"/>
          <w:sz w:val="20"/>
          <w:szCs w:val="20"/>
        </w:rPr>
        <w:t xml:space="preserve">Stiglitz discusses these in the context of the East Asia Miracle. See, e.g. </w:t>
      </w:r>
      <w:r w:rsidR="00C24DE2" w:rsidRPr="00DF5F8D">
        <w:rPr>
          <w:rFonts w:eastAsia="Times New Roman" w:cstheme="minorHAnsi"/>
          <w:color w:val="000000"/>
          <w:sz w:val="20"/>
          <w:szCs w:val="20"/>
        </w:rPr>
        <w:t xml:space="preserve">“Some Lessons from the East Asian Miracle,” </w:t>
      </w:r>
      <w:r w:rsidR="00C24DE2" w:rsidRPr="00DF5F8D">
        <w:rPr>
          <w:rFonts w:eastAsia="Times New Roman" w:cstheme="minorHAnsi"/>
          <w:i/>
          <w:color w:val="000000"/>
          <w:sz w:val="20"/>
          <w:szCs w:val="20"/>
        </w:rPr>
        <w:t>World Bank Research Observer</w:t>
      </w:r>
      <w:r w:rsidR="00C24DE2" w:rsidRPr="00DF5F8D">
        <w:rPr>
          <w:rFonts w:eastAsia="Times New Roman" w:cstheme="minorHAnsi"/>
          <w:color w:val="000000"/>
          <w:sz w:val="20"/>
          <w:szCs w:val="20"/>
        </w:rPr>
        <w:t>, 11(2), August 1996, pp. 151-177</w:t>
      </w:r>
      <w:r w:rsidR="00F80E4F" w:rsidRPr="00757A76">
        <w:rPr>
          <w:rFonts w:eastAsia="Times New Roman" w:cstheme="minorHAnsi"/>
          <w:color w:val="000000"/>
          <w:sz w:val="20"/>
          <w:szCs w:val="20"/>
        </w:rPr>
        <w:t>.</w:t>
      </w:r>
    </w:p>
    <w:p w14:paraId="40A35E7A" w14:textId="77777777" w:rsidR="00DF5F8D" w:rsidRPr="00757A76" w:rsidRDefault="00DF5F8D" w:rsidP="000D11A7">
      <w:pPr>
        <w:spacing w:after="0" w:line="240" w:lineRule="auto"/>
        <w:rPr>
          <w:rFonts w:cstheme="minorHAnsi"/>
          <w:sz w:val="20"/>
          <w:szCs w:val="20"/>
        </w:rPr>
      </w:pPr>
    </w:p>
  </w:footnote>
  <w:footnote w:id="35">
    <w:p w14:paraId="4A617135" w14:textId="1995DA17" w:rsidR="00E4449D" w:rsidRPr="00757A76" w:rsidRDefault="00661CDB" w:rsidP="00E4449D">
      <w:pPr>
        <w:pStyle w:val="FootnoteText"/>
        <w:rPr>
          <w:rFonts w:cstheme="minorHAnsi"/>
          <w:iCs/>
        </w:rPr>
      </w:pPr>
      <w:r w:rsidRPr="00757A76">
        <w:rPr>
          <w:rStyle w:val="FootnoteReference"/>
          <w:rFonts w:cstheme="minorHAnsi"/>
        </w:rPr>
        <w:footnoteRef/>
      </w:r>
      <w:r w:rsidRPr="00757A76">
        <w:rPr>
          <w:rFonts w:cstheme="minorHAnsi"/>
        </w:rPr>
        <w:t xml:space="preserve"> The “executive roundtables” </w:t>
      </w:r>
      <w:r w:rsidR="00E4449D" w:rsidRPr="00757A76">
        <w:rPr>
          <w:rFonts w:cstheme="minorHAnsi"/>
        </w:rPr>
        <w:t>(</w:t>
      </w:r>
      <w:r w:rsidR="00E4449D" w:rsidRPr="00757A76">
        <w:rPr>
          <w:rFonts w:eastAsiaTheme="minorEastAsia" w:cstheme="minorHAnsi"/>
          <w:i/>
        </w:rPr>
        <w:t>Mesas Ejecutivas</w:t>
      </w:r>
      <w:r w:rsidR="00E4449D" w:rsidRPr="00757A76">
        <w:rPr>
          <w:rFonts w:eastAsiaTheme="minorEastAsia" w:cstheme="minorHAnsi"/>
          <w:iCs/>
        </w:rPr>
        <w:t xml:space="preserve">) </w:t>
      </w:r>
      <w:r w:rsidRPr="00757A76">
        <w:rPr>
          <w:rFonts w:cstheme="minorHAnsi"/>
        </w:rPr>
        <w:t>in Peru are discussed in</w:t>
      </w:r>
      <w:r w:rsidR="00E4449D" w:rsidRPr="00757A76">
        <w:rPr>
          <w:rFonts w:cstheme="minorHAnsi"/>
        </w:rPr>
        <w:t xml:space="preserve"> P. Ghezzi, “Mesas Ejecutivas in Peru: Lessons for Productive Development Policies,” </w:t>
      </w:r>
      <w:r w:rsidR="00E4449D" w:rsidRPr="00757A76">
        <w:rPr>
          <w:rFonts w:cstheme="minorHAnsi"/>
          <w:i/>
          <w:iCs/>
        </w:rPr>
        <w:t xml:space="preserve">Global Policy, </w:t>
      </w:r>
      <w:r w:rsidR="00E4449D" w:rsidRPr="00757A76">
        <w:rPr>
          <w:rFonts w:cstheme="minorHAnsi"/>
        </w:rPr>
        <w:t>8(3):369–80, 2017. As summarized in Juhasz et al. (2024): “</w:t>
      </w:r>
      <w:r w:rsidR="00E4449D" w:rsidRPr="00757A76">
        <w:rPr>
          <w:rFonts w:cstheme="minorHAnsi"/>
          <w:iCs/>
        </w:rPr>
        <w:t>The objective of the roundtables was to institutionalize public-private dialog aimed at addressing coordination failures among firms and between the firms and the government, and thereby encourage productivity-increasing investments. The roundtables started as open-ended conversations to share information on and uncover constraints. Instead of lengthy industry reports, the focus was on developing an initial list of blockages or obstacles to productivity and means of removing them, to be revised as needed as more knowledge was acquired in the process. The responsibilities for action were divided into separate categories of “my problems” and “your problems.” The former category refers to government responsibilities (e.g., removing red tape for exports or establishing a national phytosanitary agency); the latter refers to firms’ actions (e.g., making specific investments in quality upgrading).”</w:t>
      </w:r>
    </w:p>
    <w:p w14:paraId="3F80F1F5" w14:textId="1740CFA1" w:rsidR="00661CDB" w:rsidRPr="00757A76" w:rsidRDefault="00661CDB">
      <w:pPr>
        <w:pStyle w:val="FootnoteText"/>
        <w:rPr>
          <w:rFonts w:cstheme="minorHAnsi"/>
        </w:rPr>
      </w:pPr>
      <w:r w:rsidRPr="00757A76">
        <w:rPr>
          <w:rFonts w:cstheme="minorHAnsi"/>
        </w:rPr>
        <w:t xml:space="preserve"> </w:t>
      </w:r>
    </w:p>
  </w:footnote>
  <w:footnote w:id="36">
    <w:p w14:paraId="7800E65C" w14:textId="77777777" w:rsidR="0035081B" w:rsidRDefault="00C24DE2" w:rsidP="000D11A7">
      <w:pPr>
        <w:spacing w:after="0" w:line="240" w:lineRule="auto"/>
        <w:rPr>
          <w:rFonts w:cstheme="minorHAnsi"/>
          <w:sz w:val="20"/>
          <w:szCs w:val="20"/>
        </w:rPr>
      </w:pPr>
      <w:r w:rsidRPr="00DF5F8D">
        <w:rPr>
          <w:rStyle w:val="FootnoteReference"/>
          <w:rFonts w:cstheme="minorHAnsi"/>
          <w:sz w:val="20"/>
          <w:szCs w:val="20"/>
        </w:rPr>
        <w:footnoteRef/>
      </w:r>
      <w:r w:rsidRPr="00DF5F8D">
        <w:rPr>
          <w:rFonts w:cstheme="minorHAnsi"/>
          <w:sz w:val="20"/>
          <w:szCs w:val="20"/>
        </w:rPr>
        <w:t xml:space="preserve"> In the context of the East Asia Miracle, see M. Uy and J. E. Stiglitz, “Financial Markets, Public Policy, and the East Asian Miracle,” </w:t>
      </w:r>
      <w:r w:rsidRPr="00DF5F8D">
        <w:rPr>
          <w:rFonts w:cstheme="minorHAnsi"/>
          <w:i/>
          <w:sz w:val="20"/>
          <w:szCs w:val="20"/>
        </w:rPr>
        <w:t>World Bank Research Observer,</w:t>
      </w:r>
      <w:r w:rsidRPr="00DF5F8D">
        <w:rPr>
          <w:rFonts w:cstheme="minorHAnsi"/>
          <w:sz w:val="20"/>
          <w:szCs w:val="20"/>
        </w:rPr>
        <w:t xml:space="preserve"> 11(2), August 1996, pp. 249-276.  In advanced countries, venture capital firms often play a role in coordinating the </w:t>
      </w:r>
      <w:r w:rsidRPr="00376BCC">
        <w:rPr>
          <w:rFonts w:cstheme="minorHAnsi"/>
          <w:sz w:val="20"/>
          <w:szCs w:val="20"/>
        </w:rPr>
        <w:t xml:space="preserve">provision of critical inputs for the firms </w:t>
      </w:r>
      <w:r w:rsidR="007E10B4" w:rsidRPr="00757A76">
        <w:rPr>
          <w:rFonts w:cstheme="minorHAnsi"/>
          <w:sz w:val="20"/>
          <w:szCs w:val="20"/>
        </w:rPr>
        <w:t xml:space="preserve">in which </w:t>
      </w:r>
      <w:r w:rsidRPr="00376BCC">
        <w:rPr>
          <w:rFonts w:cstheme="minorHAnsi"/>
          <w:sz w:val="20"/>
          <w:szCs w:val="20"/>
        </w:rPr>
        <w:t xml:space="preserve">they invest. </w:t>
      </w:r>
    </w:p>
    <w:p w14:paraId="7D0ED233" w14:textId="3A2351AB" w:rsidR="00C24DE2" w:rsidRPr="00757A76" w:rsidRDefault="00C24DE2" w:rsidP="000D11A7">
      <w:pPr>
        <w:spacing w:after="0" w:line="240" w:lineRule="auto"/>
        <w:rPr>
          <w:rFonts w:cstheme="minorHAnsi"/>
          <w:sz w:val="20"/>
          <w:szCs w:val="20"/>
        </w:rPr>
      </w:pPr>
      <w:r w:rsidRPr="00376BCC">
        <w:rPr>
          <w:rFonts w:cstheme="minorHAnsi"/>
          <w:sz w:val="20"/>
          <w:szCs w:val="20"/>
        </w:rPr>
        <w:t xml:space="preserve"> </w:t>
      </w:r>
    </w:p>
  </w:footnote>
  <w:footnote w:id="37">
    <w:p w14:paraId="542A38CA" w14:textId="2B00687E" w:rsidR="00E50D02" w:rsidRPr="004A3C04" w:rsidRDefault="00E50D02">
      <w:pPr>
        <w:pStyle w:val="FootnoteText"/>
        <w:rPr>
          <w:i/>
          <w:iCs/>
        </w:rPr>
      </w:pPr>
      <w:r>
        <w:rPr>
          <w:rStyle w:val="FootnoteReference"/>
        </w:rPr>
        <w:footnoteRef/>
      </w:r>
      <w:r>
        <w:t xml:space="preserve"> In old trade theory, picking winners was simple: identifying projects or sectors in which a country had a comparative advantage, given its resource endowment, say its capital, human capital, and natural capital.  In more dynamic contexts, this approach is less helpful:  with factor flows, comparative advantage relates only to immobile factors</w:t>
      </w:r>
      <w:r w:rsidR="002D0AA9">
        <w:t xml:space="preserve">; a country with a skill shortage may be able to get the requisite skills from abroad.  More importantly, changing technologies, institutions, and more broadly individual, organizational, and institutional learning mean that comparative advantages can change over time.  Thus, a critical question facing any country as it embarks on structural change is, what comparative advantages to acquire.  See Greenwald and Stiglitz. </w:t>
      </w:r>
      <w:r w:rsidR="002D0AA9">
        <w:rPr>
          <w:i/>
          <w:iCs/>
        </w:rPr>
        <w:t>Industrial Policies, op. cit.</w:t>
      </w:r>
    </w:p>
  </w:footnote>
  <w:footnote w:id="38">
    <w:p w14:paraId="743326EA" w14:textId="60EA47CD" w:rsidR="00365779" w:rsidRPr="00757A76" w:rsidRDefault="00365779" w:rsidP="00365779">
      <w:pPr>
        <w:pStyle w:val="FootnoteText"/>
        <w:rPr>
          <w:rFonts w:cstheme="minorHAnsi"/>
        </w:rPr>
      </w:pPr>
      <w:r w:rsidRPr="00757A76">
        <w:rPr>
          <w:rStyle w:val="FootnoteReference"/>
          <w:rFonts w:cstheme="minorHAnsi"/>
        </w:rPr>
        <w:footnoteRef/>
      </w:r>
      <w:r w:rsidRPr="00757A76">
        <w:rPr>
          <w:rFonts w:cstheme="minorHAnsi"/>
        </w:rPr>
        <w:t xml:space="preserve"> For a discussion of conditionality, see M. Mazzucato and D. Rodrik, “Industrial Policy with Conditionalities: A Taxonomy and Sample Cases,” September 2023.</w:t>
      </w:r>
    </w:p>
    <w:p w14:paraId="61A90B03" w14:textId="6968E2A8" w:rsidR="00365779" w:rsidRPr="00757A76" w:rsidRDefault="00365779">
      <w:pPr>
        <w:pStyle w:val="FootnoteText"/>
        <w:rPr>
          <w:rFonts w:cstheme="minorHAnsi"/>
        </w:rPr>
      </w:pPr>
    </w:p>
  </w:footnote>
  <w:footnote w:id="39">
    <w:p w14:paraId="0053B632" w14:textId="457CDB58" w:rsidR="00DF5F8D" w:rsidRDefault="00DF5F8D" w:rsidP="00DF5F8D">
      <w:pPr>
        <w:pStyle w:val="CommentText"/>
      </w:pPr>
      <w:r>
        <w:rPr>
          <w:rStyle w:val="FootnoteReference"/>
        </w:rPr>
        <w:footnoteRef/>
      </w:r>
      <w:r>
        <w:t xml:space="preserve"> Changes in consumption patterns may ameliorate this tendency somewhat. For example, flowers and vegetables use more labor than wheat.</w:t>
      </w:r>
    </w:p>
    <w:p w14:paraId="0AD4A647" w14:textId="26814AD9" w:rsidR="00DF5F8D" w:rsidRDefault="00DF5F8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50"/>
    <w:rsid w:val="000166CA"/>
    <w:rsid w:val="000223D6"/>
    <w:rsid w:val="0003131B"/>
    <w:rsid w:val="00033EEB"/>
    <w:rsid w:val="00036078"/>
    <w:rsid w:val="000442EF"/>
    <w:rsid w:val="000734F9"/>
    <w:rsid w:val="000865FC"/>
    <w:rsid w:val="00095B5B"/>
    <w:rsid w:val="000A38E9"/>
    <w:rsid w:val="000A7B58"/>
    <w:rsid w:val="000A7C50"/>
    <w:rsid w:val="000B54A3"/>
    <w:rsid w:val="000D11A7"/>
    <w:rsid w:val="000D4367"/>
    <w:rsid w:val="000E0763"/>
    <w:rsid w:val="000F04D4"/>
    <w:rsid w:val="000F0857"/>
    <w:rsid w:val="000F0DB3"/>
    <w:rsid w:val="001153DA"/>
    <w:rsid w:val="00134014"/>
    <w:rsid w:val="00134F1A"/>
    <w:rsid w:val="00151BA4"/>
    <w:rsid w:val="001531AE"/>
    <w:rsid w:val="00155B56"/>
    <w:rsid w:val="00156602"/>
    <w:rsid w:val="001632D0"/>
    <w:rsid w:val="001660EA"/>
    <w:rsid w:val="00166F06"/>
    <w:rsid w:val="001702F9"/>
    <w:rsid w:val="00186655"/>
    <w:rsid w:val="00192598"/>
    <w:rsid w:val="0019511C"/>
    <w:rsid w:val="001A1B07"/>
    <w:rsid w:val="001A4FCE"/>
    <w:rsid w:val="001B21D8"/>
    <w:rsid w:val="001B758A"/>
    <w:rsid w:val="001D42B9"/>
    <w:rsid w:val="001F4A37"/>
    <w:rsid w:val="0023485E"/>
    <w:rsid w:val="00235EDA"/>
    <w:rsid w:val="0024632A"/>
    <w:rsid w:val="002538F7"/>
    <w:rsid w:val="00257AC7"/>
    <w:rsid w:val="00257E7C"/>
    <w:rsid w:val="002662FF"/>
    <w:rsid w:val="002C3B69"/>
    <w:rsid w:val="002D0AA9"/>
    <w:rsid w:val="002D2B66"/>
    <w:rsid w:val="002D3A74"/>
    <w:rsid w:val="002E6575"/>
    <w:rsid w:val="00317C1D"/>
    <w:rsid w:val="00332B53"/>
    <w:rsid w:val="0034592D"/>
    <w:rsid w:val="0035081B"/>
    <w:rsid w:val="003615CD"/>
    <w:rsid w:val="00365779"/>
    <w:rsid w:val="0037560C"/>
    <w:rsid w:val="00376BCC"/>
    <w:rsid w:val="003826DD"/>
    <w:rsid w:val="0039193C"/>
    <w:rsid w:val="003B1264"/>
    <w:rsid w:val="003B4A38"/>
    <w:rsid w:val="003B7B7B"/>
    <w:rsid w:val="003C3E38"/>
    <w:rsid w:val="003C7417"/>
    <w:rsid w:val="003D0960"/>
    <w:rsid w:val="003D4953"/>
    <w:rsid w:val="003E143A"/>
    <w:rsid w:val="003E6381"/>
    <w:rsid w:val="003E7EE1"/>
    <w:rsid w:val="003F2C85"/>
    <w:rsid w:val="003F362F"/>
    <w:rsid w:val="003F61A7"/>
    <w:rsid w:val="004047D9"/>
    <w:rsid w:val="004204B3"/>
    <w:rsid w:val="00430D42"/>
    <w:rsid w:val="00457961"/>
    <w:rsid w:val="00467426"/>
    <w:rsid w:val="00472F09"/>
    <w:rsid w:val="00475200"/>
    <w:rsid w:val="00476E27"/>
    <w:rsid w:val="00480C8F"/>
    <w:rsid w:val="004831E3"/>
    <w:rsid w:val="004958F0"/>
    <w:rsid w:val="004A2EEB"/>
    <w:rsid w:val="004A3C04"/>
    <w:rsid w:val="004A53E0"/>
    <w:rsid w:val="004C20B0"/>
    <w:rsid w:val="004D0D18"/>
    <w:rsid w:val="004E0142"/>
    <w:rsid w:val="005016E8"/>
    <w:rsid w:val="00510EAD"/>
    <w:rsid w:val="00533D57"/>
    <w:rsid w:val="00536D6F"/>
    <w:rsid w:val="005425DF"/>
    <w:rsid w:val="00546D03"/>
    <w:rsid w:val="0054740A"/>
    <w:rsid w:val="00551481"/>
    <w:rsid w:val="00552FA2"/>
    <w:rsid w:val="005569E3"/>
    <w:rsid w:val="0057155F"/>
    <w:rsid w:val="00572154"/>
    <w:rsid w:val="00572855"/>
    <w:rsid w:val="005768DE"/>
    <w:rsid w:val="005810FB"/>
    <w:rsid w:val="005811C9"/>
    <w:rsid w:val="005A618C"/>
    <w:rsid w:val="005A65BF"/>
    <w:rsid w:val="005A7002"/>
    <w:rsid w:val="005B3128"/>
    <w:rsid w:val="005B5197"/>
    <w:rsid w:val="005B65A5"/>
    <w:rsid w:val="005C68AF"/>
    <w:rsid w:val="005C74C0"/>
    <w:rsid w:val="005D3B0F"/>
    <w:rsid w:val="005D5669"/>
    <w:rsid w:val="005E2799"/>
    <w:rsid w:val="005F0DA2"/>
    <w:rsid w:val="005F102C"/>
    <w:rsid w:val="00600E1E"/>
    <w:rsid w:val="00601D83"/>
    <w:rsid w:val="0060436E"/>
    <w:rsid w:val="00627794"/>
    <w:rsid w:val="0063157A"/>
    <w:rsid w:val="0063653C"/>
    <w:rsid w:val="00642C98"/>
    <w:rsid w:val="00660EC3"/>
    <w:rsid w:val="00661179"/>
    <w:rsid w:val="00661CDB"/>
    <w:rsid w:val="006B3155"/>
    <w:rsid w:val="006B6DD5"/>
    <w:rsid w:val="006C34F0"/>
    <w:rsid w:val="006C56FB"/>
    <w:rsid w:val="006D13B5"/>
    <w:rsid w:val="006D6F8B"/>
    <w:rsid w:val="006E70AB"/>
    <w:rsid w:val="006F703F"/>
    <w:rsid w:val="0070769C"/>
    <w:rsid w:val="007117D2"/>
    <w:rsid w:val="007214CF"/>
    <w:rsid w:val="00757A76"/>
    <w:rsid w:val="007622A9"/>
    <w:rsid w:val="00764CF4"/>
    <w:rsid w:val="007675E4"/>
    <w:rsid w:val="00772392"/>
    <w:rsid w:val="007908F8"/>
    <w:rsid w:val="007911D0"/>
    <w:rsid w:val="007A532C"/>
    <w:rsid w:val="007B4454"/>
    <w:rsid w:val="007C5F56"/>
    <w:rsid w:val="007D05B0"/>
    <w:rsid w:val="007D54A3"/>
    <w:rsid w:val="007D559F"/>
    <w:rsid w:val="007E10B4"/>
    <w:rsid w:val="007E36BF"/>
    <w:rsid w:val="007E695F"/>
    <w:rsid w:val="007F2F8E"/>
    <w:rsid w:val="007F5AA0"/>
    <w:rsid w:val="00814C15"/>
    <w:rsid w:val="00824F60"/>
    <w:rsid w:val="00846A09"/>
    <w:rsid w:val="00867D7B"/>
    <w:rsid w:val="008918E4"/>
    <w:rsid w:val="00895EFC"/>
    <w:rsid w:val="008B157E"/>
    <w:rsid w:val="008B594F"/>
    <w:rsid w:val="008D67E1"/>
    <w:rsid w:val="00903A5E"/>
    <w:rsid w:val="009161EC"/>
    <w:rsid w:val="00921E3E"/>
    <w:rsid w:val="00935702"/>
    <w:rsid w:val="0094096A"/>
    <w:rsid w:val="00951E86"/>
    <w:rsid w:val="009523D1"/>
    <w:rsid w:val="00956D80"/>
    <w:rsid w:val="00977431"/>
    <w:rsid w:val="00994F5A"/>
    <w:rsid w:val="009A430A"/>
    <w:rsid w:val="009B2410"/>
    <w:rsid w:val="009B42B5"/>
    <w:rsid w:val="009C15F0"/>
    <w:rsid w:val="009D5665"/>
    <w:rsid w:val="009F025D"/>
    <w:rsid w:val="009F2877"/>
    <w:rsid w:val="009F3C0A"/>
    <w:rsid w:val="00A064D3"/>
    <w:rsid w:val="00A15C66"/>
    <w:rsid w:val="00A15F00"/>
    <w:rsid w:val="00A177C2"/>
    <w:rsid w:val="00A26F73"/>
    <w:rsid w:val="00A312B1"/>
    <w:rsid w:val="00A3524B"/>
    <w:rsid w:val="00A4254B"/>
    <w:rsid w:val="00A613C3"/>
    <w:rsid w:val="00A62336"/>
    <w:rsid w:val="00A64699"/>
    <w:rsid w:val="00A86C3C"/>
    <w:rsid w:val="00AA0361"/>
    <w:rsid w:val="00AA628E"/>
    <w:rsid w:val="00AD5840"/>
    <w:rsid w:val="00AE48E7"/>
    <w:rsid w:val="00AF0A69"/>
    <w:rsid w:val="00AF49DE"/>
    <w:rsid w:val="00B02491"/>
    <w:rsid w:val="00B128F4"/>
    <w:rsid w:val="00B23274"/>
    <w:rsid w:val="00B74D4F"/>
    <w:rsid w:val="00B77B6F"/>
    <w:rsid w:val="00B81C81"/>
    <w:rsid w:val="00B86BAD"/>
    <w:rsid w:val="00B86C8A"/>
    <w:rsid w:val="00B91F5A"/>
    <w:rsid w:val="00BB4CC0"/>
    <w:rsid w:val="00BC0C10"/>
    <w:rsid w:val="00BC11B0"/>
    <w:rsid w:val="00BD0558"/>
    <w:rsid w:val="00C110F7"/>
    <w:rsid w:val="00C11883"/>
    <w:rsid w:val="00C12ECB"/>
    <w:rsid w:val="00C17AA9"/>
    <w:rsid w:val="00C21C75"/>
    <w:rsid w:val="00C24DE2"/>
    <w:rsid w:val="00C44B15"/>
    <w:rsid w:val="00C45A1A"/>
    <w:rsid w:val="00C479EF"/>
    <w:rsid w:val="00C509CD"/>
    <w:rsid w:val="00C5168C"/>
    <w:rsid w:val="00C53754"/>
    <w:rsid w:val="00C82566"/>
    <w:rsid w:val="00C937FE"/>
    <w:rsid w:val="00C938C6"/>
    <w:rsid w:val="00CA0798"/>
    <w:rsid w:val="00CB347E"/>
    <w:rsid w:val="00CD2D37"/>
    <w:rsid w:val="00CD52CA"/>
    <w:rsid w:val="00CF258B"/>
    <w:rsid w:val="00CF5AF9"/>
    <w:rsid w:val="00CF739A"/>
    <w:rsid w:val="00D0783E"/>
    <w:rsid w:val="00D460D3"/>
    <w:rsid w:val="00D50CE1"/>
    <w:rsid w:val="00D542F4"/>
    <w:rsid w:val="00D6282C"/>
    <w:rsid w:val="00D62EBA"/>
    <w:rsid w:val="00D6447A"/>
    <w:rsid w:val="00D91339"/>
    <w:rsid w:val="00DA65D3"/>
    <w:rsid w:val="00DB2FB4"/>
    <w:rsid w:val="00DC252B"/>
    <w:rsid w:val="00DC7970"/>
    <w:rsid w:val="00DC7B87"/>
    <w:rsid w:val="00DD2AAB"/>
    <w:rsid w:val="00DD2BAD"/>
    <w:rsid w:val="00DD3652"/>
    <w:rsid w:val="00DD5A2D"/>
    <w:rsid w:val="00DF512E"/>
    <w:rsid w:val="00DF5F8D"/>
    <w:rsid w:val="00E03BC0"/>
    <w:rsid w:val="00E11EEA"/>
    <w:rsid w:val="00E15CE3"/>
    <w:rsid w:val="00E32DDE"/>
    <w:rsid w:val="00E33DCB"/>
    <w:rsid w:val="00E356F2"/>
    <w:rsid w:val="00E35842"/>
    <w:rsid w:val="00E37700"/>
    <w:rsid w:val="00E4449D"/>
    <w:rsid w:val="00E50D02"/>
    <w:rsid w:val="00E522E7"/>
    <w:rsid w:val="00E5301A"/>
    <w:rsid w:val="00E737B2"/>
    <w:rsid w:val="00E76770"/>
    <w:rsid w:val="00EA3B3C"/>
    <w:rsid w:val="00EB4648"/>
    <w:rsid w:val="00ED18DC"/>
    <w:rsid w:val="00EE0682"/>
    <w:rsid w:val="00EF0B2B"/>
    <w:rsid w:val="00F02FE6"/>
    <w:rsid w:val="00F0796B"/>
    <w:rsid w:val="00F12C59"/>
    <w:rsid w:val="00F1685C"/>
    <w:rsid w:val="00F309EF"/>
    <w:rsid w:val="00F32063"/>
    <w:rsid w:val="00F47359"/>
    <w:rsid w:val="00F643E4"/>
    <w:rsid w:val="00F80E4F"/>
    <w:rsid w:val="00FA336B"/>
    <w:rsid w:val="00FB156A"/>
    <w:rsid w:val="00FD1F55"/>
    <w:rsid w:val="00FE123B"/>
    <w:rsid w:val="00FE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516A"/>
  <w15:chartTrackingRefBased/>
  <w15:docId w15:val="{445638FE-F677-498F-A57E-2BC9E790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93C"/>
  </w:style>
  <w:style w:type="paragraph" w:styleId="Footer">
    <w:name w:val="footer"/>
    <w:basedOn w:val="Normal"/>
    <w:link w:val="FooterChar"/>
    <w:uiPriority w:val="99"/>
    <w:unhideWhenUsed/>
    <w:rsid w:val="00391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93C"/>
  </w:style>
  <w:style w:type="paragraph" w:styleId="FootnoteText">
    <w:name w:val="footnote text"/>
    <w:basedOn w:val="Normal"/>
    <w:link w:val="FootnoteTextChar"/>
    <w:uiPriority w:val="99"/>
    <w:unhideWhenUsed/>
    <w:rsid w:val="00FB156A"/>
    <w:pPr>
      <w:spacing w:after="0" w:line="240" w:lineRule="auto"/>
    </w:pPr>
    <w:rPr>
      <w:sz w:val="20"/>
      <w:szCs w:val="20"/>
    </w:rPr>
  </w:style>
  <w:style w:type="character" w:customStyle="1" w:styleId="FootnoteTextChar">
    <w:name w:val="Footnote Text Char"/>
    <w:basedOn w:val="DefaultParagraphFont"/>
    <w:link w:val="FootnoteText"/>
    <w:uiPriority w:val="99"/>
    <w:rsid w:val="00FB156A"/>
    <w:rPr>
      <w:sz w:val="20"/>
      <w:szCs w:val="20"/>
    </w:rPr>
  </w:style>
  <w:style w:type="character" w:styleId="FootnoteReference">
    <w:name w:val="footnote reference"/>
    <w:basedOn w:val="DefaultParagraphFont"/>
    <w:uiPriority w:val="99"/>
    <w:semiHidden/>
    <w:unhideWhenUsed/>
    <w:rsid w:val="00FB156A"/>
    <w:rPr>
      <w:vertAlign w:val="superscript"/>
    </w:rPr>
  </w:style>
  <w:style w:type="paragraph" w:styleId="NoSpacing">
    <w:name w:val="No Spacing"/>
    <w:uiPriority w:val="1"/>
    <w:qFormat/>
    <w:rsid w:val="00D0783E"/>
    <w:pPr>
      <w:spacing w:after="0" w:line="240" w:lineRule="auto"/>
      <w:jc w:val="both"/>
    </w:pPr>
    <w:rPr>
      <w:kern w:val="0"/>
      <w:lang w:val="fr-FR"/>
      <w14:ligatures w14:val="none"/>
    </w:rPr>
  </w:style>
  <w:style w:type="character" w:styleId="Hyperlink">
    <w:name w:val="Hyperlink"/>
    <w:basedOn w:val="DefaultParagraphFont"/>
    <w:uiPriority w:val="99"/>
    <w:unhideWhenUsed/>
    <w:rsid w:val="00D0783E"/>
    <w:rPr>
      <w:color w:val="0563C1" w:themeColor="hyperlink"/>
      <w:u w:val="single"/>
    </w:rPr>
  </w:style>
  <w:style w:type="character" w:styleId="UnresolvedMention">
    <w:name w:val="Unresolved Mention"/>
    <w:basedOn w:val="DefaultParagraphFont"/>
    <w:uiPriority w:val="99"/>
    <w:semiHidden/>
    <w:unhideWhenUsed/>
    <w:rsid w:val="00D0783E"/>
    <w:rPr>
      <w:color w:val="605E5C"/>
      <w:shd w:val="clear" w:color="auto" w:fill="E1DFDD"/>
    </w:rPr>
  </w:style>
  <w:style w:type="character" w:styleId="FollowedHyperlink">
    <w:name w:val="FollowedHyperlink"/>
    <w:basedOn w:val="DefaultParagraphFont"/>
    <w:uiPriority w:val="99"/>
    <w:semiHidden/>
    <w:unhideWhenUsed/>
    <w:rsid w:val="0003131B"/>
    <w:rPr>
      <w:color w:val="954F72" w:themeColor="followedHyperlink"/>
      <w:u w:val="single"/>
    </w:rPr>
  </w:style>
  <w:style w:type="paragraph" w:styleId="Revision">
    <w:name w:val="Revision"/>
    <w:hidden/>
    <w:uiPriority w:val="99"/>
    <w:semiHidden/>
    <w:rsid w:val="00951E86"/>
    <w:pPr>
      <w:spacing w:after="0" w:line="240" w:lineRule="auto"/>
    </w:pPr>
  </w:style>
  <w:style w:type="character" w:styleId="CommentReference">
    <w:name w:val="annotation reference"/>
    <w:basedOn w:val="DefaultParagraphFont"/>
    <w:uiPriority w:val="99"/>
    <w:semiHidden/>
    <w:unhideWhenUsed/>
    <w:rsid w:val="00510EAD"/>
    <w:rPr>
      <w:sz w:val="16"/>
      <w:szCs w:val="16"/>
    </w:rPr>
  </w:style>
  <w:style w:type="paragraph" w:styleId="CommentText">
    <w:name w:val="annotation text"/>
    <w:basedOn w:val="Normal"/>
    <w:link w:val="CommentTextChar"/>
    <w:uiPriority w:val="99"/>
    <w:unhideWhenUsed/>
    <w:rsid w:val="00510EAD"/>
    <w:pPr>
      <w:spacing w:line="240" w:lineRule="auto"/>
    </w:pPr>
    <w:rPr>
      <w:sz w:val="20"/>
      <w:szCs w:val="20"/>
    </w:rPr>
  </w:style>
  <w:style w:type="character" w:customStyle="1" w:styleId="CommentTextChar">
    <w:name w:val="Comment Text Char"/>
    <w:basedOn w:val="DefaultParagraphFont"/>
    <w:link w:val="CommentText"/>
    <w:uiPriority w:val="99"/>
    <w:rsid w:val="00510EAD"/>
    <w:rPr>
      <w:sz w:val="20"/>
      <w:szCs w:val="20"/>
    </w:rPr>
  </w:style>
  <w:style w:type="paragraph" w:styleId="CommentSubject">
    <w:name w:val="annotation subject"/>
    <w:basedOn w:val="CommentText"/>
    <w:next w:val="CommentText"/>
    <w:link w:val="CommentSubjectChar"/>
    <w:uiPriority w:val="99"/>
    <w:semiHidden/>
    <w:unhideWhenUsed/>
    <w:rsid w:val="00510EAD"/>
    <w:rPr>
      <w:b/>
      <w:bCs/>
    </w:rPr>
  </w:style>
  <w:style w:type="character" w:customStyle="1" w:styleId="CommentSubjectChar">
    <w:name w:val="Comment Subject Char"/>
    <w:basedOn w:val="CommentTextChar"/>
    <w:link w:val="CommentSubject"/>
    <w:uiPriority w:val="99"/>
    <w:semiHidden/>
    <w:rsid w:val="00510E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84139">
      <w:bodyDiv w:val="1"/>
      <w:marLeft w:val="0"/>
      <w:marRight w:val="0"/>
      <w:marTop w:val="0"/>
      <w:marBottom w:val="0"/>
      <w:divBdr>
        <w:top w:val="none" w:sz="0" w:space="0" w:color="auto"/>
        <w:left w:val="none" w:sz="0" w:space="0" w:color="auto"/>
        <w:bottom w:val="none" w:sz="0" w:space="0" w:color="auto"/>
        <w:right w:val="none" w:sz="0" w:space="0" w:color="auto"/>
      </w:divBdr>
    </w:div>
    <w:div w:id="1235820669">
      <w:bodyDiv w:val="1"/>
      <w:marLeft w:val="0"/>
      <w:marRight w:val="0"/>
      <w:marTop w:val="0"/>
      <w:marBottom w:val="0"/>
      <w:divBdr>
        <w:top w:val="none" w:sz="0" w:space="0" w:color="auto"/>
        <w:left w:val="none" w:sz="0" w:space="0" w:color="auto"/>
        <w:bottom w:val="none" w:sz="0" w:space="0" w:color="auto"/>
        <w:right w:val="none" w:sz="0" w:space="0" w:color="auto"/>
      </w:divBdr>
    </w:div>
    <w:div w:id="1329870211">
      <w:bodyDiv w:val="1"/>
      <w:marLeft w:val="0"/>
      <w:marRight w:val="0"/>
      <w:marTop w:val="0"/>
      <w:marBottom w:val="0"/>
      <w:divBdr>
        <w:top w:val="none" w:sz="0" w:space="0" w:color="auto"/>
        <w:left w:val="none" w:sz="0" w:space="0" w:color="auto"/>
        <w:bottom w:val="none" w:sz="0" w:space="0" w:color="auto"/>
        <w:right w:val="none" w:sz="0" w:space="0" w:color="auto"/>
      </w:divBdr>
    </w:div>
    <w:div w:id="1495605855">
      <w:bodyDiv w:val="1"/>
      <w:marLeft w:val="0"/>
      <w:marRight w:val="0"/>
      <w:marTop w:val="0"/>
      <w:marBottom w:val="0"/>
      <w:divBdr>
        <w:top w:val="none" w:sz="0" w:space="0" w:color="auto"/>
        <w:left w:val="none" w:sz="0" w:space="0" w:color="auto"/>
        <w:bottom w:val="none" w:sz="0" w:space="0" w:color="auto"/>
        <w:right w:val="none" w:sz="0" w:space="0" w:color="auto"/>
      </w:divBdr>
    </w:div>
    <w:div w:id="21222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penknowledge.worldbank.org/entities/publication/6fade0af-26aa-59cb-8de0-167fe290fa67" TargetMode="External"/><Relationship Id="rId3" Type="http://schemas.openxmlformats.org/officeDocument/2006/relationships/hyperlink" Target="https://oxford.universitypressscholarship.com/view/10.1093/oso/9780198863960.001.0001/oso-9780198863960-chapter-12" TargetMode="External"/><Relationship Id="rId7" Type="http://schemas.openxmlformats.org/officeDocument/2006/relationships/hyperlink" Target="https://www.samagragovernance.in/blog/2019-11-21-how-haryana-is-working-with-cab-aggregators-to-solve-the-unemployment-puzzle/" TargetMode="External"/><Relationship Id="rId2" Type="http://schemas.openxmlformats.org/officeDocument/2006/relationships/hyperlink" Target="https://drodrik.scholar.harvard.edu/publications/africas-manufacturing-puzzle-evidence-tanzanian-and-ethiopian-firms" TargetMode="External"/><Relationship Id="rId1" Type="http://schemas.openxmlformats.org/officeDocument/2006/relationships/hyperlink" Target="https://www.sciencedirect.com/science/journal/0305750X/110/supp/C" TargetMode="External"/><Relationship Id="rId6" Type="http://schemas.openxmlformats.org/officeDocument/2006/relationships/hyperlink" Target="https://live.worldbank.org/en/event/2023/africa-pulse-regional-economic-update-growth-people-better-jobs" TargetMode="External"/><Relationship Id="rId5" Type="http://schemas.openxmlformats.org/officeDocument/2006/relationships/hyperlink" Target="https://www.project-syndicate.org/commentary/low-middle-income-countries-debt-development-climate-crisis-by-dani-rodrik-and-ishac-diwan-2023-09" TargetMode="External"/><Relationship Id="rId10" Type="http://schemas.openxmlformats.org/officeDocument/2006/relationships/hyperlink" Target="https://scholar.harvard.edu/weitzman/publications/prices-vs-quantities" TargetMode="External"/><Relationship Id="rId4" Type="http://schemas.openxmlformats.org/officeDocument/2006/relationships/hyperlink" Target="https://oxford.universitypressscholarship.com/view/10.1093/oso/9780198863960.001.0001/oso-9780198863960-chapter-12" TargetMode="External"/><Relationship Id="rId9" Type="http://schemas.openxmlformats.org/officeDocument/2006/relationships/hyperlink" Target="https://www.sciencedirect.com/science/article/pii/S001429211930090X?dgcid=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BACD7-BCF0-4130-A86A-388C21DC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6633</Words>
  <Characters>37813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Rodrik</dc:creator>
  <cp:keywords/>
  <dc:description/>
  <cp:lastModifiedBy>Lucas, Savannah</cp:lastModifiedBy>
  <cp:revision>2</cp:revision>
  <dcterms:created xsi:type="dcterms:W3CDTF">2024-03-15T19:03:00Z</dcterms:created>
  <dcterms:modified xsi:type="dcterms:W3CDTF">2024-03-15T19:03:00Z</dcterms:modified>
</cp:coreProperties>
</file>